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1F" w:rsidRPr="00BA385B" w:rsidRDefault="00465A1F" w:rsidP="00F86E58">
      <w:pPr>
        <w:jc w:val="both"/>
        <w:rPr>
          <w:b/>
          <w:sz w:val="24"/>
          <w:szCs w:val="24"/>
        </w:rPr>
      </w:pPr>
    </w:p>
    <w:p w:rsidR="008E2EC9" w:rsidRPr="00BA385B" w:rsidRDefault="00BA385B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BA385B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="00043B40" w:rsidRPr="00BA385B">
        <w:rPr>
          <w:rFonts w:ascii="Arial" w:hAnsi="Arial" w:cs="Arial"/>
          <w:b/>
          <w:sz w:val="24"/>
          <w:szCs w:val="24"/>
        </w:rPr>
        <w:t>Sberbank</w:t>
      </w:r>
      <w:proofErr w:type="spellEnd"/>
      <w:r w:rsidR="00043B40" w:rsidRPr="00BA385B">
        <w:rPr>
          <w:rFonts w:ascii="Arial" w:hAnsi="Arial" w:cs="Arial"/>
          <w:b/>
          <w:sz w:val="24"/>
          <w:szCs w:val="24"/>
        </w:rPr>
        <w:t xml:space="preserve"> </w:t>
      </w:r>
      <w:r w:rsidR="00F86E58" w:rsidRPr="00BA385B">
        <w:rPr>
          <w:rFonts w:ascii="Arial" w:hAnsi="Arial" w:cs="Arial"/>
          <w:b/>
          <w:sz w:val="24"/>
          <w:szCs w:val="24"/>
        </w:rPr>
        <w:t>Magyarország</w:t>
      </w:r>
      <w:r w:rsidR="00043B40" w:rsidRPr="00BA38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43B40" w:rsidRPr="00BA385B">
        <w:rPr>
          <w:rFonts w:ascii="Arial" w:hAnsi="Arial" w:cs="Arial"/>
          <w:b/>
          <w:sz w:val="24"/>
          <w:szCs w:val="24"/>
        </w:rPr>
        <w:t>Zrt</w:t>
      </w:r>
      <w:proofErr w:type="spellEnd"/>
      <w:r w:rsidR="00043B40" w:rsidRPr="00BA385B">
        <w:rPr>
          <w:rFonts w:ascii="Arial" w:hAnsi="Arial" w:cs="Arial"/>
          <w:b/>
          <w:sz w:val="24"/>
          <w:szCs w:val="24"/>
        </w:rPr>
        <w:t>.</w:t>
      </w:r>
    </w:p>
    <w:p w:rsidR="008E2EC9" w:rsidRPr="00BA385B" w:rsidRDefault="00043B40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BA385B">
        <w:rPr>
          <w:rFonts w:ascii="Arial" w:hAnsi="Arial" w:cs="Arial"/>
          <w:b/>
          <w:sz w:val="24"/>
          <w:szCs w:val="24"/>
        </w:rPr>
        <w:t>Hirdetménye</w:t>
      </w:r>
    </w:p>
    <w:p w:rsidR="002D63F6" w:rsidRDefault="002D63F6" w:rsidP="002D63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63F6">
        <w:rPr>
          <w:rFonts w:ascii="Arial" w:hAnsi="Arial" w:cs="Arial"/>
          <w:sz w:val="24"/>
          <w:szCs w:val="24"/>
        </w:rPr>
        <w:t>az Általános Szerződési Feltételek</w:t>
      </w:r>
      <w:r w:rsidR="00D64FD6" w:rsidRPr="00C17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című üzletszabályzata</w:t>
      </w:r>
    </w:p>
    <w:p w:rsidR="008E2EC9" w:rsidRPr="002D63F6" w:rsidRDefault="00711E67" w:rsidP="002D63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63F6">
        <w:rPr>
          <w:rFonts w:ascii="Arial" w:hAnsi="Arial" w:cs="Arial"/>
          <w:b/>
          <w:sz w:val="24"/>
          <w:szCs w:val="24"/>
        </w:rPr>
        <w:t>201</w:t>
      </w:r>
      <w:r w:rsidR="006B413B">
        <w:rPr>
          <w:rFonts w:ascii="Arial" w:hAnsi="Arial" w:cs="Arial"/>
          <w:b/>
          <w:sz w:val="24"/>
          <w:szCs w:val="24"/>
        </w:rPr>
        <w:t>9</w:t>
      </w:r>
      <w:r w:rsidR="00D64FD6" w:rsidRPr="002D63F6">
        <w:rPr>
          <w:rFonts w:ascii="Arial" w:hAnsi="Arial" w:cs="Arial"/>
          <w:b/>
          <w:sz w:val="24"/>
          <w:szCs w:val="24"/>
        </w:rPr>
        <w:t xml:space="preserve">. </w:t>
      </w:r>
      <w:r w:rsidR="006B413B">
        <w:rPr>
          <w:rFonts w:ascii="Arial" w:hAnsi="Arial" w:cs="Arial"/>
          <w:b/>
          <w:sz w:val="24"/>
          <w:szCs w:val="24"/>
        </w:rPr>
        <w:t>február 11</w:t>
      </w:r>
      <w:r w:rsidR="002D63F6" w:rsidRPr="002D63F6">
        <w:rPr>
          <w:rFonts w:ascii="Arial" w:hAnsi="Arial" w:cs="Arial"/>
          <w:b/>
          <w:sz w:val="24"/>
          <w:szCs w:val="24"/>
        </w:rPr>
        <w:t>. napjától</w:t>
      </w:r>
      <w:r w:rsidR="00D64FD6" w:rsidRPr="002D63F6">
        <w:rPr>
          <w:rFonts w:ascii="Arial" w:hAnsi="Arial" w:cs="Arial"/>
          <w:b/>
          <w:sz w:val="24"/>
          <w:szCs w:val="24"/>
        </w:rPr>
        <w:t xml:space="preserve"> hatályos módosításáról</w:t>
      </w:r>
    </w:p>
    <w:p w:rsidR="000B2C17" w:rsidRPr="00742731" w:rsidRDefault="000B2C17" w:rsidP="00FF4DD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96725" w:rsidRPr="00742731" w:rsidRDefault="006417AC" w:rsidP="00FF4D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273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742731">
        <w:rPr>
          <w:rFonts w:ascii="Arial" w:hAnsi="Arial" w:cs="Arial"/>
          <w:sz w:val="20"/>
          <w:szCs w:val="20"/>
        </w:rPr>
        <w:t>Sberbank</w:t>
      </w:r>
      <w:proofErr w:type="spellEnd"/>
      <w:r w:rsidRPr="00742731">
        <w:rPr>
          <w:rFonts w:ascii="Arial" w:hAnsi="Arial" w:cs="Arial"/>
          <w:sz w:val="20"/>
          <w:szCs w:val="20"/>
        </w:rPr>
        <w:t xml:space="preserve"> Magyarország </w:t>
      </w:r>
      <w:proofErr w:type="spellStart"/>
      <w:r w:rsidRPr="00742731">
        <w:rPr>
          <w:rFonts w:ascii="Arial" w:hAnsi="Arial" w:cs="Arial"/>
          <w:sz w:val="20"/>
          <w:szCs w:val="20"/>
        </w:rPr>
        <w:t>Zrt</w:t>
      </w:r>
      <w:proofErr w:type="spellEnd"/>
      <w:r w:rsidRPr="00742731">
        <w:rPr>
          <w:rFonts w:ascii="Arial" w:hAnsi="Arial" w:cs="Arial"/>
          <w:sz w:val="20"/>
          <w:szCs w:val="20"/>
        </w:rPr>
        <w:t xml:space="preserve">. </w:t>
      </w:r>
      <w:r w:rsidR="00C17B0F" w:rsidRPr="00742731">
        <w:rPr>
          <w:rFonts w:ascii="Arial" w:hAnsi="Arial" w:cs="Arial"/>
          <w:sz w:val="20"/>
          <w:szCs w:val="20"/>
        </w:rPr>
        <w:t xml:space="preserve">(1088 Budapest, Rákóczi út 7.; a továbbiakban: a Bank) </w:t>
      </w:r>
      <w:r w:rsidRPr="00742731">
        <w:rPr>
          <w:rFonts w:ascii="Arial" w:hAnsi="Arial" w:cs="Arial"/>
          <w:sz w:val="20"/>
          <w:szCs w:val="20"/>
        </w:rPr>
        <w:t xml:space="preserve">ezúton felhívja tisztelt </w:t>
      </w:r>
      <w:r w:rsidR="009F1EAD" w:rsidRPr="00742731">
        <w:rPr>
          <w:rFonts w:ascii="Arial" w:hAnsi="Arial" w:cs="Arial"/>
          <w:sz w:val="20"/>
          <w:szCs w:val="20"/>
        </w:rPr>
        <w:t>Ügyfelei</w:t>
      </w:r>
      <w:r w:rsidRPr="00742731">
        <w:rPr>
          <w:rFonts w:ascii="Arial" w:hAnsi="Arial" w:cs="Arial"/>
          <w:sz w:val="20"/>
          <w:szCs w:val="20"/>
        </w:rPr>
        <w:t xml:space="preserve"> </w:t>
      </w:r>
      <w:r w:rsidR="00896725" w:rsidRPr="00742731">
        <w:rPr>
          <w:rFonts w:ascii="Arial" w:hAnsi="Arial" w:cs="Arial"/>
          <w:sz w:val="20"/>
          <w:szCs w:val="20"/>
        </w:rPr>
        <w:t xml:space="preserve">figyelmét arra, hogy </w:t>
      </w:r>
      <w:r w:rsidR="002D63F6" w:rsidRPr="00742731">
        <w:rPr>
          <w:rFonts w:ascii="Arial" w:hAnsi="Arial" w:cs="Arial"/>
          <w:sz w:val="20"/>
          <w:szCs w:val="20"/>
        </w:rPr>
        <w:t>Általános Szerződési Feltételek című üzletszabályzatát</w:t>
      </w:r>
      <w:r w:rsidR="003A3C07">
        <w:rPr>
          <w:rFonts w:ascii="Arial" w:hAnsi="Arial" w:cs="Arial"/>
          <w:sz w:val="20"/>
          <w:szCs w:val="20"/>
        </w:rPr>
        <w:t xml:space="preserve">, </w:t>
      </w:r>
      <w:r w:rsidR="001A212D" w:rsidRPr="00742731">
        <w:rPr>
          <w:rFonts w:ascii="Arial" w:hAnsi="Arial" w:cs="Arial"/>
          <w:sz w:val="20"/>
          <w:szCs w:val="20"/>
        </w:rPr>
        <w:t>az alábbi Hirdetmény szerinti indokok alapján,</w:t>
      </w:r>
      <w:r w:rsidR="00056A2B" w:rsidRPr="00742731">
        <w:rPr>
          <w:rFonts w:ascii="Arial" w:hAnsi="Arial" w:cs="Arial"/>
          <w:sz w:val="20"/>
          <w:szCs w:val="20"/>
        </w:rPr>
        <w:t xml:space="preserve"> </w:t>
      </w:r>
      <w:r w:rsidR="00870CD9" w:rsidRPr="00742731">
        <w:rPr>
          <w:rFonts w:ascii="Arial" w:hAnsi="Arial" w:cs="Arial"/>
          <w:b/>
          <w:sz w:val="20"/>
          <w:szCs w:val="20"/>
        </w:rPr>
        <w:t>201</w:t>
      </w:r>
      <w:r w:rsidR="006B413B">
        <w:rPr>
          <w:rFonts w:ascii="Arial" w:hAnsi="Arial" w:cs="Arial"/>
          <w:b/>
          <w:sz w:val="20"/>
          <w:szCs w:val="20"/>
        </w:rPr>
        <w:t>9</w:t>
      </w:r>
      <w:r w:rsidR="002D63F6" w:rsidRPr="00742731">
        <w:rPr>
          <w:rFonts w:ascii="Arial" w:hAnsi="Arial" w:cs="Arial"/>
          <w:b/>
          <w:sz w:val="20"/>
          <w:szCs w:val="20"/>
        </w:rPr>
        <w:t xml:space="preserve">. </w:t>
      </w:r>
      <w:r w:rsidR="006B413B">
        <w:rPr>
          <w:rFonts w:ascii="Arial" w:hAnsi="Arial" w:cs="Arial"/>
          <w:b/>
          <w:sz w:val="20"/>
          <w:szCs w:val="20"/>
        </w:rPr>
        <w:t>február 11</w:t>
      </w:r>
      <w:r w:rsidR="002D63F6" w:rsidRPr="00742731">
        <w:rPr>
          <w:rFonts w:ascii="Arial" w:hAnsi="Arial" w:cs="Arial"/>
          <w:b/>
          <w:sz w:val="20"/>
          <w:szCs w:val="20"/>
        </w:rPr>
        <w:t>.</w:t>
      </w:r>
      <w:r w:rsidR="00C17B0F" w:rsidRPr="00742731">
        <w:rPr>
          <w:rFonts w:ascii="Arial" w:hAnsi="Arial" w:cs="Arial"/>
          <w:b/>
          <w:sz w:val="20"/>
          <w:szCs w:val="20"/>
        </w:rPr>
        <w:t xml:space="preserve"> napjától </w:t>
      </w:r>
      <w:r w:rsidR="001A212D" w:rsidRPr="00742731">
        <w:rPr>
          <w:rFonts w:ascii="Arial" w:hAnsi="Arial" w:cs="Arial"/>
          <w:b/>
          <w:sz w:val="20"/>
          <w:szCs w:val="20"/>
        </w:rPr>
        <w:t>módosítja</w:t>
      </w:r>
      <w:r w:rsidR="002D63F6" w:rsidRPr="00742731">
        <w:rPr>
          <w:rFonts w:ascii="Arial" w:hAnsi="Arial" w:cs="Arial"/>
          <w:b/>
          <w:sz w:val="20"/>
          <w:szCs w:val="20"/>
        </w:rPr>
        <w:t>.</w:t>
      </w:r>
    </w:p>
    <w:p w:rsidR="00870918" w:rsidRPr="00742731" w:rsidRDefault="00870918" w:rsidP="00FF4DD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63F6" w:rsidRPr="00D30147" w:rsidRDefault="002D63F6" w:rsidP="00FF4D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0147">
        <w:rPr>
          <w:rFonts w:ascii="Arial" w:hAnsi="Arial" w:cs="Arial"/>
          <w:sz w:val="20"/>
          <w:szCs w:val="20"/>
          <w:u w:val="single"/>
        </w:rPr>
        <w:t xml:space="preserve">A módosítás </w:t>
      </w:r>
      <w:r w:rsidR="00A87D4A" w:rsidRPr="00D30147">
        <w:rPr>
          <w:rFonts w:ascii="Arial" w:hAnsi="Arial" w:cs="Arial"/>
          <w:sz w:val="20"/>
          <w:szCs w:val="20"/>
          <w:u w:val="single"/>
        </w:rPr>
        <w:t>lényege</w:t>
      </w:r>
      <w:r w:rsidRPr="00D30147">
        <w:rPr>
          <w:rFonts w:ascii="Arial" w:hAnsi="Arial" w:cs="Arial"/>
          <w:sz w:val="20"/>
          <w:szCs w:val="20"/>
        </w:rPr>
        <w:t xml:space="preserve">: </w:t>
      </w:r>
    </w:p>
    <w:p w:rsidR="00BE51A1" w:rsidRDefault="00BE51A1" w:rsidP="00711E6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Bank</w:t>
      </w:r>
      <w:r w:rsidR="00634ED1">
        <w:rPr>
          <w:rFonts w:ascii="Arial" w:hAnsi="Arial" w:cs="Arial"/>
          <w:sz w:val="20"/>
          <w:szCs w:val="20"/>
        </w:rPr>
        <w:t xml:space="preserve"> a módosítással a folyószámlahitel szerződéskötést egyszerűsíti valamint lehetővé teszi az elektronikus úton történő szerződéskötést a Bank által meghatározott termékek körében.</w:t>
      </w:r>
    </w:p>
    <w:p w:rsidR="0048445C" w:rsidRDefault="0048445C" w:rsidP="00FF4DD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A203C" w:rsidRPr="00D30147" w:rsidRDefault="004A203C" w:rsidP="00FF4D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0147">
        <w:rPr>
          <w:rFonts w:ascii="Arial" w:hAnsi="Arial" w:cs="Arial"/>
          <w:sz w:val="20"/>
          <w:szCs w:val="20"/>
          <w:u w:val="single"/>
        </w:rPr>
        <w:t>A módosítással érintett rendelkezések</w:t>
      </w:r>
      <w:r w:rsidRPr="00D30147">
        <w:rPr>
          <w:rFonts w:ascii="Arial" w:hAnsi="Arial" w:cs="Arial"/>
          <w:sz w:val="20"/>
          <w:szCs w:val="20"/>
        </w:rPr>
        <w:t>:</w:t>
      </w:r>
    </w:p>
    <w:p w:rsidR="00823375" w:rsidRDefault="00466392" w:rsidP="00FF4D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373249">
        <w:rPr>
          <w:rFonts w:ascii="Arial" w:hAnsi="Arial" w:cs="Arial"/>
          <w:sz w:val="20"/>
          <w:szCs w:val="20"/>
        </w:rPr>
        <w:t>Az Általános Szerződési Feltételek című üzletszabályzat</w:t>
      </w:r>
      <w:r w:rsidR="00D2475A" w:rsidRPr="00373249">
        <w:rPr>
          <w:rFonts w:ascii="Arial" w:hAnsi="Arial" w:cs="Arial"/>
          <w:sz w:val="20"/>
          <w:szCs w:val="20"/>
        </w:rPr>
        <w:t xml:space="preserve"> </w:t>
      </w:r>
      <w:bookmarkStart w:id="0" w:name="_Toc278281254"/>
      <w:bookmarkStart w:id="1" w:name="_Toc345665924"/>
      <w:bookmarkStart w:id="2" w:name="_Toc448739016"/>
    </w:p>
    <w:bookmarkEnd w:id="0"/>
    <w:bookmarkEnd w:id="1"/>
    <w:bookmarkEnd w:id="2"/>
    <w:p w:rsidR="00DC240A" w:rsidRDefault="00DC240A" w:rsidP="00FF4DD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34ED1" w:rsidRPr="00634ED1" w:rsidRDefault="00634ED1" w:rsidP="00634ED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</w:rPr>
      </w:pPr>
      <w:r w:rsidRPr="00634ED1">
        <w:rPr>
          <w:rFonts w:ascii="Arial" w:hAnsi="Arial" w:cs="Arial"/>
          <w:b/>
        </w:rPr>
        <w:t>XVII/25. Folyószámla-hitel szerződés (HUF folyószámlahitel fogyasztók részére) Általános Rész</w:t>
      </w:r>
    </w:p>
    <w:p w:rsidR="00634ED1" w:rsidRPr="00634ED1" w:rsidRDefault="00634ED1" w:rsidP="00634ED1">
      <w:pPr>
        <w:jc w:val="both"/>
        <w:rPr>
          <w:rFonts w:ascii="Arial" w:hAnsi="Arial" w:cs="Arial"/>
        </w:rPr>
      </w:pPr>
    </w:p>
    <w:p w:rsidR="00634ED1" w:rsidRPr="00634ED1" w:rsidRDefault="00634ED1" w:rsidP="00634ED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color w:val="000000"/>
        </w:rPr>
      </w:pPr>
      <w:r w:rsidRPr="00634ED1">
        <w:rPr>
          <w:rFonts w:ascii="Arial" w:hAnsi="Arial" w:cs="Arial"/>
          <w:b/>
          <w:bCs/>
          <w:color w:val="000000"/>
        </w:rPr>
        <w:t>A hitelkeret összege és a futamidő, a visszafizetés módja</w:t>
      </w:r>
    </w:p>
    <w:p w:rsidR="00634ED1" w:rsidRPr="00634ED1" w:rsidRDefault="00634ED1" w:rsidP="00634ED1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10619" w:type="dxa"/>
        <w:tblInd w:w="-683" w:type="dxa"/>
        <w:tblCellMar>
          <w:left w:w="70" w:type="dxa"/>
          <w:right w:w="70" w:type="dxa"/>
        </w:tblCellMar>
        <w:tblLook w:val="04A0"/>
      </w:tblPr>
      <w:tblGrid>
        <w:gridCol w:w="10619"/>
      </w:tblGrid>
      <w:tr w:rsidR="00634ED1" w:rsidRPr="00634ED1" w:rsidTr="00634ED1">
        <w:trPr>
          <w:trHeight w:val="1590"/>
        </w:trPr>
        <w:tc>
          <w:tcPr>
            <w:tcW w:w="10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1.1 A Felek megállapodnak, hogy a Bank az Adós Hitelkérelemben megjelölt Bankszámláján (a továbbiakban: „Bankszámla”) a Bankszámla devizanemében folyószámla-hitelkeretet (a továbbiakban: „Hitelkeret”) nyit és tart az Adós rendelkezésére, a Hitelkérelemben feltüntetetteknek és a jelen folyószámlahitel szerződési feltételeknek (egyben Folyószámlahitel-szerződés Általános Rész, a továbbiakban: „Folyószámlahitel szerződési feltételek”) megfelelően. Az Adós tudomásul veszi és elfogadja a Bank azon jogát, hogy a kért Hitelkeret összegét a Bank hitelbírálati döntésének megfelelően az általa a Hitelkérelemben igényeltnél alacsonyabb összegben állapítsa meg.</w:t>
            </w:r>
          </w:p>
        </w:tc>
      </w:tr>
      <w:tr w:rsidR="00634ED1" w:rsidRPr="00634ED1" w:rsidTr="00634ED1">
        <w:trPr>
          <w:trHeight w:val="330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1.2 A Hitelkeret futamideje a szerződéskötés napjától számított 3, azaz három év, amelyről a Bank az Adóst írásban értesíti.</w:t>
            </w:r>
          </w:p>
        </w:tc>
      </w:tr>
      <w:tr w:rsidR="00634ED1" w:rsidRPr="00634ED1" w:rsidTr="00634ED1">
        <w:trPr>
          <w:trHeight w:val="555"/>
        </w:trPr>
        <w:tc>
          <w:tcPr>
            <w:tcW w:w="1061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34ED1" w:rsidRPr="00634ED1" w:rsidRDefault="00634ED1" w:rsidP="00634ED1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1.3.1A Felek megállapítják, hogy a Hitelkeret induló összege a Bank által a hitelbírálat során elfogadható jövedelem alapján, míg a Szerződés futamideje alatt a Hitelkeret összege az Általános Rész 4.1. pontjában vállalt rendszeres havi jövedelem jóváírás forint összege alapján kerül meghatározásra (kivéve Start folyószámlahitel esetén) a jelen pontban foglaltak szerint, azaz a rendelkezésre tartott Hitelkeret összeg a futamidő alatt a jelen Szerződés </w:t>
            </w:r>
            <w:r w:rsidRPr="00634ED1">
              <w:rPr>
                <w:rFonts w:ascii="Arial" w:hAnsi="Arial" w:cs="Arial"/>
                <w:color w:val="000000"/>
              </w:rPr>
              <w:lastRenderedPageBreak/>
              <w:t>szerint meghatározott módon változhat, amit az Adós a Szerződés aláírásával kifejezetten elfogad és tudomásul vesz. Amennyiben az Adós Bankszámláján kettő egymást követő hónapban a bejövő havi jövedelem jóváírás forintban számított összege a Hitelkeret induló összegének:</w:t>
            </w:r>
          </w:p>
          <w:p w:rsidR="00634ED1" w:rsidRPr="00634ED1" w:rsidRDefault="00634ED1" w:rsidP="00634ED1">
            <w:pPr>
              <w:ind w:left="1392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 - a 100%-át, de minimum 68 000 Ft-ot, ha a Hitelkérelem elfogadásáról küldött értesítésben a Hitelkeret induló keretösszege a megállapítása alapjául szolgáló, a hitelbírálat során elfogadott rendszeres havi nettó jövedelem 100%-os arányában került megjelölésre,</w:t>
            </w:r>
          </w:p>
          <w:p w:rsidR="00634ED1" w:rsidRPr="00634ED1" w:rsidRDefault="00634ED1" w:rsidP="00634ED1">
            <w:pPr>
              <w:ind w:left="1392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 - 50%-át, de minimum 68 000 Ft-ot ha a Hitelkérelem elfogadásáról küldött értesítésben a Hitelkeret induló keretösszege a megállapítása alapjául szolgáló, a hitelbírálat során elfogadott rendszeres havi nettó jövedelem 200%-os arányában került megjelölésre,</w:t>
            </w:r>
          </w:p>
          <w:p w:rsidR="00634ED1" w:rsidRPr="00634ED1" w:rsidRDefault="00634ED1" w:rsidP="00634ED1">
            <w:pPr>
              <w:ind w:left="1392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  - 1/3-át, de minimum 68 000 Ft-ot ha a Hitelkérelem elfogadásáról küldött értesítésben a Hitelkeret induló keretösszege a megállapítása alapjául szolgáló, a hitelbírálat során elfogadott rendszeres havi nettó jövedelem 300%-os arányában került megjelölésre,</w:t>
            </w:r>
          </w:p>
          <w:p w:rsidR="00634ED1" w:rsidRPr="00634ED1" w:rsidRDefault="00634ED1" w:rsidP="00634ED1">
            <w:pPr>
              <w:ind w:left="1392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 nem éri el a Hitelkeret összege a soron következő harmadik hónap első napjától olyan mértékűre csökken, amelyre az Adós Bankszámlájára a beérkező havi jóváírások alapján arányosan jogosult (a továbbiakban: „Módosult összegű hitelkeret”). Amennyiben a beérkező havi jóváírások összege nem éri el a 68 000 Ft-ot, a hitelkeret felmondásra kerül. E körben a nettó havi jövedelemként megjelölt összeg úgy aránylik a Hitelkeret induló összegéhez, ahogy a Módosult összegű hitelkeret aránylik a tényleges Bankszámlán történő jövedelem jóváírások, a Módosult összegű hitelkeret módosításának hónapját megelőző 3 havi átlagához. Ezen időponttól az Adós kizárólag a Módosult összegű hitelkeret igénybevételére jogosult.</w:t>
            </w:r>
            <w:r w:rsidRPr="00634ED1">
              <w:rPr>
                <w:rFonts w:ascii="Arial" w:hAnsi="Arial" w:cs="Arial"/>
                <w:color w:val="000000"/>
              </w:rPr>
              <w:br/>
              <w:t>Az Adós Módosult összegű hitelkeret összegének emelését írásban kezdeményezheti, különösen amennyiben az Adós az Általános rész 4.1. pontjában foglalt rendszeres havi jövedelem jóváírási kötelezettségének ismételten eleget tesz.</w:t>
            </w: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4ED1" w:rsidRPr="00634ED1" w:rsidTr="00634ED1">
        <w:trPr>
          <w:trHeight w:val="555"/>
        </w:trPr>
        <w:tc>
          <w:tcPr>
            <w:tcW w:w="10619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4ED1" w:rsidRPr="00634ED1" w:rsidTr="00634ED1">
        <w:trPr>
          <w:trHeight w:val="555"/>
        </w:trPr>
        <w:tc>
          <w:tcPr>
            <w:tcW w:w="10619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4ED1" w:rsidRPr="00634ED1" w:rsidTr="00634ED1">
        <w:trPr>
          <w:trHeight w:val="555"/>
        </w:trPr>
        <w:tc>
          <w:tcPr>
            <w:tcW w:w="10619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4ED1" w:rsidRPr="00634ED1" w:rsidTr="00634ED1">
        <w:trPr>
          <w:trHeight w:val="1860"/>
        </w:trPr>
        <w:tc>
          <w:tcPr>
            <w:tcW w:w="10619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4ED1" w:rsidRPr="00634ED1" w:rsidTr="00634ED1">
        <w:trPr>
          <w:trHeight w:val="540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</w:rPr>
            </w:pP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</w:rPr>
            </w:pPr>
            <w:r w:rsidRPr="00634ED1">
              <w:rPr>
                <w:rFonts w:ascii="Arial" w:hAnsi="Arial" w:cs="Arial"/>
              </w:rPr>
              <w:t>1.3.2 A Felek megállapodnak, hogy a Bank jogosult a Hitelkeret összegének Általános Rész 1.3.1. pontja szerinti módosításától akár időlegesen, akár véglegesen eltekinteni.</w:t>
            </w:r>
          </w:p>
        </w:tc>
      </w:tr>
      <w:tr w:rsidR="00634ED1" w:rsidRPr="00634ED1" w:rsidTr="00634ED1">
        <w:trPr>
          <w:trHeight w:val="1815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1.4 A Bank a Különös rész I.1. pontban megjelölt Hitelkeret terhére – az Adós vonatkozó külön rendelkezése nélkül – kölcsönt folyósít az Adós részére akkor és olyan mértékben, amennyire ez az Adós számlája terhére teljesítendő fizetési megbízások, rendelkezések, valamint készpénz felvételek teljesítéséhez szükséges. A Hitelkeret terhére történő lehívás kezdeményezésének ebben az esetben a Bankszámla terhére teljesítendő fizetési megbízások, rendelkezések benyújtása, valamint készpénz felvételek kezdeményezése minősül. A kölcsön folyósítása (a folyószámlahitel igénybevétele) úgy történik, hogy a Bank a Hitelkeret terhére teljesíti azokat az Adós által adott fizetési rendelkezéseket, valamint készpénzfelvételeket – e körbe tartoznak az Adós részére a Bankszámlához kibocsátott </w:t>
            </w:r>
            <w:r w:rsidRPr="00634ED1">
              <w:rPr>
                <w:rFonts w:ascii="Arial" w:hAnsi="Arial" w:cs="Arial"/>
                <w:color w:val="000000"/>
              </w:rPr>
              <w:lastRenderedPageBreak/>
              <w:t>bankkártyával végzett tranzakciók is – amelyek teljesítéséhez az Adós Bankszámlájának egyenlege nem nyújt fedezetet.</w:t>
            </w:r>
          </w:p>
        </w:tc>
      </w:tr>
      <w:tr w:rsidR="00634ED1" w:rsidRPr="00634ED1" w:rsidTr="00634ED1">
        <w:trPr>
          <w:trHeight w:val="1080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1.5 A Felek megállapodnak abban, hogy a Hitelkeret terhére a Bank nem folyósít kölcsönt a Bankszámla ellen benyújtott hatósági átutalás, illetve átutalási végzés teljesítése céljából.</w:t>
            </w:r>
            <w:r w:rsidRPr="00634ED1">
              <w:rPr>
                <w:rFonts w:ascii="Arial" w:hAnsi="Arial" w:cs="Arial"/>
                <w:color w:val="000000"/>
              </w:rPr>
              <w:br/>
              <w:t>Az Adós kötelezettséget vállal arra, hogy a Hitelkeret terhére más hitelintézetnek nem ad beszedési megbízás benyújtására vonatkozó jogosultságot, ellenkező esetben a Bank jogosult az ilyen megbízás befogadását megtagadni.</w:t>
            </w:r>
          </w:p>
        </w:tc>
      </w:tr>
      <w:tr w:rsidR="00634ED1" w:rsidRPr="00634ED1" w:rsidTr="00634ED1">
        <w:trPr>
          <w:trHeight w:val="570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1.6 Az Adós Bankszámláján történő jóváírások – amennyiben meghaladják a tárgynapon teljesítendő fizetési megbízások összegét – az Adós külön rendelkezése nélkül csökkentik az igénybe vett Hitelkeret összegét a jóváírás értéknapján.</w:t>
            </w:r>
          </w:p>
        </w:tc>
      </w:tr>
      <w:tr w:rsidR="00634ED1" w:rsidRPr="00634ED1" w:rsidTr="00634ED1">
        <w:trPr>
          <w:trHeight w:val="1815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392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1.7 Az igénybevett kölcsön és járulékainak összege a Hitelkeret devizanemében legkésőbb a Hitelkeret lejáratának napjáig törlesztendő, kivéve ha a Hitelkeret lejárata előtt a Bank az Adóst írásban értesítette annak meghosszabbításáról. A Felek megállapodnak, hogy a Folyószámlahitel szerződés egyúttal az Adós Szerződés futamidejének hosszabbítása iránti ismétlődő kérelemének is tekintendő. A Bank az Adós ezen a futamidő hosszabbításra irányuló kérelmét a Szerződés meghosszabbításról küldött értesítő levelével fogadja el, az abban meghatározott futamidőre és feltételekkel. Ha a Folyószámlahitel szerződést bármely Fél felmondja, úgy a felmondás a Hitelkeret terhére igénybevett kölcsön felmondását is jelenti kifejezett eltérő rendelkezés hiányában. A kölcsön és járulékainak összege a Szerződés felmondásának napján esedékes.</w:t>
            </w:r>
          </w:p>
        </w:tc>
      </w:tr>
    </w:tbl>
    <w:p w:rsidR="00634ED1" w:rsidRPr="00634ED1" w:rsidRDefault="00634ED1" w:rsidP="00634ED1">
      <w:pPr>
        <w:jc w:val="both"/>
        <w:rPr>
          <w:rFonts w:ascii="Arial" w:hAnsi="Arial" w:cs="Arial"/>
        </w:rPr>
      </w:pPr>
    </w:p>
    <w:p w:rsidR="00634ED1" w:rsidRPr="00634ED1" w:rsidRDefault="00634ED1" w:rsidP="00634ED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  <w:b/>
          <w:bCs/>
          <w:color w:val="000000"/>
        </w:rPr>
        <w:t>Kamat és díjak, kamat- és díjfizetés esedékessége, a teljes hiteldíj mutató</w:t>
      </w:r>
    </w:p>
    <w:p w:rsidR="00634ED1" w:rsidRPr="00634ED1" w:rsidRDefault="00634ED1" w:rsidP="00634ED1">
      <w:pPr>
        <w:jc w:val="both"/>
        <w:rPr>
          <w:rFonts w:ascii="Arial" w:hAnsi="Arial" w:cs="Arial"/>
        </w:rPr>
      </w:pPr>
    </w:p>
    <w:tbl>
      <w:tblPr>
        <w:tblW w:w="11008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11008"/>
      </w:tblGrid>
      <w:tr w:rsidR="00634ED1" w:rsidRPr="00634ED1" w:rsidTr="00634ED1">
        <w:trPr>
          <w:trHeight w:val="27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 Az Adós a rendelkezésére bocsátott Hitelkerethez kapcsolódóan az alábbi tételekből összetevődő teljes hiteldíjat köteles fizetni:</w:t>
            </w:r>
          </w:p>
        </w:tc>
      </w:tr>
      <w:tr w:rsidR="00634ED1" w:rsidRPr="00634ED1" w:rsidTr="00634ED1">
        <w:trPr>
          <w:trHeight w:val="81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2.1.1 Az Adós a Hitelkeret terhére folyósított kölcsön(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ök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) után a kölcsöntartozás fennállásának időtartamára a Különös rész „Kamatláb” pontjában leírtak szerint meghatározott mértékű kamatot tartozik megfizetni (a továbbiakban: a Kamatláb).</w:t>
            </w:r>
            <w:r w:rsidRPr="00634ED1">
              <w:rPr>
                <w:rFonts w:ascii="Arial" w:hAnsi="Arial" w:cs="Arial"/>
                <w:color w:val="000000"/>
              </w:rPr>
              <w:br/>
              <w:t>A Kamatláb szerződéskötéskor érvényes éves mértékét a Folyószámlahitel szerződés elválaszthatatlan részét képező Hitelkérelem tartalmazza.</w:t>
            </w:r>
          </w:p>
        </w:tc>
      </w:tr>
      <w:tr w:rsidR="00634ED1" w:rsidRPr="00634ED1" w:rsidTr="00634ED1">
        <w:trPr>
          <w:trHeight w:val="81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2.1.1.1 A Szerződő Felek akként állapodnak meg, hogy a Kamatláb fix, és annak a mértéke a futamidő alatt az Adós számára hátrányosan a Bank által egyoldalúan nem módosítható. A Szerződő Felek közös akarattal és megállapodással a futamidő alatt a Kamatláb mértékének – mind hátrányos, mind nem hátrányos – módosításáról is megállapodhatnak.</w:t>
            </w:r>
          </w:p>
        </w:tc>
      </w:tr>
      <w:tr w:rsidR="00634ED1" w:rsidRPr="00634ED1" w:rsidTr="00634ED1">
        <w:trPr>
          <w:trHeight w:val="81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2.1.2 A számára engedélyezett Hitelkeret megnyitásával egyidejűleg, illetve évente, kezelési díjat fizet, amelynek mértékét a Bank mindenkori Hirdetményében teszi közzé. A kezelési díj szerződéskötéskor érvényes éves mértékét a Folyószámlahitel szerződés elválaszthatatlan részét képező Hitelkérelem tartalmazza.</w:t>
            </w:r>
          </w:p>
        </w:tc>
      </w:tr>
      <w:tr w:rsidR="00634ED1" w:rsidRPr="00634ED1" w:rsidTr="00634ED1">
        <w:trPr>
          <w:trHeight w:val="81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2.1.3 Az Adós a Hitelkeret igénybe nem vett része után a Szerződés fennállásának időtartamára havonta a Bank mindenkori Hirdetményében közzétett mértékű rendelkezésre tartási díjat fizet. A rendelkezésre tartási díj szerződéskötéskor érvényes éves mértékét a Folyószámlahitel szerződés elválaszthatatlan részét képező Hitelkérelem tartalmazza.</w:t>
            </w:r>
          </w:p>
        </w:tc>
      </w:tr>
      <w:tr w:rsidR="00634ED1" w:rsidRPr="00634ED1" w:rsidTr="00634ED1">
        <w:trPr>
          <w:trHeight w:val="525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2.1.4 A teljes hiteldíj mutató értékét a Folyószámlahitel szerződés elválaszthatatlan részét képező Hitelkérelem tartalmazza. A THM kalkulációja során Bank a 83/2010. (III.25.) Korm. rendelet alapján jár el, az alábbi számítási módszer alkalmazásával:</w:t>
            </w: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noProof/>
                <w:lang w:eastAsia="hu-HU"/>
              </w:rPr>
              <w:drawing>
                <wp:inline distT="0" distB="0" distL="0" distR="0">
                  <wp:extent cx="3125470" cy="66865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ahol: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34ED1">
              <w:rPr>
                <w:rFonts w:ascii="Arial" w:hAnsi="Arial" w:cs="Arial"/>
                <w:color w:val="000000"/>
              </w:rPr>
              <w:t>C</w:t>
            </w:r>
            <w:r w:rsidRPr="00634ED1">
              <w:rPr>
                <w:rFonts w:ascii="Arial" w:hAnsi="Arial" w:cs="Arial"/>
                <w:color w:val="000000"/>
                <w:vertAlign w:val="subscript"/>
              </w:rPr>
              <w:t>k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:</w:t>
            </w:r>
            <w:r w:rsidRPr="00634ED1">
              <w:rPr>
                <w:rFonts w:ascii="Arial" w:hAnsi="Arial" w:cs="Arial"/>
              </w:rPr>
              <w:t xml:space="preserve"> </w:t>
            </w:r>
            <w:r w:rsidRPr="00634ED1">
              <w:rPr>
                <w:rFonts w:ascii="Arial" w:hAnsi="Arial" w:cs="Arial"/>
                <w:color w:val="000000"/>
              </w:rPr>
              <w:t>a k sorszámú hitelrészlet összege, csökkentve a hitel felvételével összefüggő, az első hitelfolyósításig fizetendő költségekkel;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D</w:t>
            </w:r>
            <w:r w:rsidRPr="00634ED1">
              <w:rPr>
                <w:rFonts w:ascii="Arial" w:hAnsi="Arial" w:cs="Arial"/>
                <w:color w:val="000000"/>
                <w:vertAlign w:val="subscript"/>
              </w:rPr>
              <w:t>l</w:t>
            </w:r>
            <w:r w:rsidRPr="00634ED1">
              <w:rPr>
                <w:rFonts w:ascii="Arial" w:hAnsi="Arial" w:cs="Arial"/>
                <w:color w:val="000000"/>
              </w:rPr>
              <w:t xml:space="preserve">: az 1 sorszámú 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törlesztőrészlet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 xml:space="preserve"> vagy díjfizetés összege;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m: a hitelfolyósítások száma;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m': az utolsó 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törlesztőrészlet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 xml:space="preserve"> vagy díjfizetés sorszáma;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34ED1">
              <w:rPr>
                <w:rFonts w:ascii="Arial" w:hAnsi="Arial" w:cs="Arial"/>
                <w:color w:val="000000"/>
              </w:rPr>
              <w:t>t</w:t>
            </w:r>
            <w:r w:rsidRPr="00634ED1">
              <w:rPr>
                <w:rFonts w:ascii="Arial" w:hAnsi="Arial" w:cs="Arial"/>
                <w:color w:val="000000"/>
                <w:vertAlign w:val="subscript"/>
              </w:rPr>
              <w:t>k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: az első hitelfolyósítás időpontja és minden ezt követő hitelfolyósítás időpontja közötti időtartam években és töredékévekben kifejezve, ezért     t1 = 0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34ED1">
              <w:rPr>
                <w:rFonts w:ascii="Arial" w:hAnsi="Arial" w:cs="Arial"/>
                <w:color w:val="000000"/>
              </w:rPr>
              <w:t>s</w:t>
            </w:r>
            <w:r w:rsidRPr="00634ED1">
              <w:rPr>
                <w:rFonts w:ascii="Arial" w:hAnsi="Arial" w:cs="Arial"/>
                <w:color w:val="000000"/>
                <w:vertAlign w:val="subscript"/>
              </w:rPr>
              <w:t>l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 xml:space="preserve">: az első hitelfolyósítás időpontja és minden egyes 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törlesztőrészlet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 xml:space="preserve"> vagy díjfizetés időpontja közötti időtartam években és töredékévekben kifejezve</w:t>
            </w:r>
          </w:p>
          <w:p w:rsidR="00634ED1" w:rsidRPr="00634ED1" w:rsidRDefault="00634ED1" w:rsidP="00634ED1">
            <w:pPr>
              <w:autoSpaceDE w:val="0"/>
              <w:autoSpaceDN w:val="0"/>
              <w:adjustRightInd w:val="0"/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lastRenderedPageBreak/>
              <w:t>x: a THM értéke.</w:t>
            </w: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4ED1" w:rsidRPr="00634ED1" w:rsidTr="00634ED1">
        <w:trPr>
          <w:trHeight w:val="108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lastRenderedPageBreak/>
              <w:t>2.1.5 Az Adós a banki kölcsönfolyósítással kapcsolatban az alábbi díjakat fizeti meg, melyet a THM tartalmaz;</w:t>
            </w:r>
            <w:r w:rsidRPr="00634ED1">
              <w:rPr>
                <w:rFonts w:ascii="Arial" w:hAnsi="Arial" w:cs="Arial"/>
                <w:color w:val="000000"/>
              </w:rPr>
              <w:br/>
              <w:t>a) számlavezetési díj (Különös Rész II.7. pont);</w:t>
            </w:r>
            <w:r w:rsidRPr="00634ED1">
              <w:rPr>
                <w:rFonts w:ascii="Arial" w:hAnsi="Arial" w:cs="Arial"/>
                <w:color w:val="000000"/>
              </w:rPr>
              <w:br/>
              <w:t>b) amennyiben az Adós a Folyószámlahitel szerződés teljesítéséhez szükséges olyan bankszámlacsomagot választ, amelyhez bankkártya használata kötelezően is társul, akkor a bankkártya díja (Különös Rész II.8. pont);</w:t>
            </w:r>
          </w:p>
        </w:tc>
      </w:tr>
      <w:tr w:rsidR="00634ED1" w:rsidRPr="00634ED1" w:rsidTr="00634ED1">
        <w:trPr>
          <w:trHeight w:val="1785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2.1.6 Az Adós a banki kölcsönfolyósítással kapcsolatban az alábbi díjakat fizeti meg, melyet a THM nem tartalmaz;</w:t>
            </w:r>
            <w:r w:rsidRPr="00634ED1">
              <w:rPr>
                <w:rFonts w:ascii="Arial" w:hAnsi="Arial" w:cs="Arial"/>
                <w:color w:val="000000"/>
              </w:rPr>
              <w:br/>
              <w:t>a) amennyiben az Adós a Különös Rész I.5. pontjában igényelte a csoportos hitelfedezeti biztosítást, akkor csoportos hitelfedezeti biztosítás) díját (Különös Rész II.10. pont).</w:t>
            </w:r>
            <w:r w:rsidRPr="00634ED1">
              <w:rPr>
                <w:rFonts w:ascii="Arial" w:hAnsi="Arial" w:cs="Arial"/>
                <w:color w:val="000000"/>
              </w:rPr>
              <w:br/>
              <w:t>b) A behajtással összefüggő ügyviteli díjátalány összege, amely a késedelembe esés időpontjától számított 90 napos késedelemig minden megkezdett hónapra 1.000,- Ft, a 90 napos késedelembe esés időpontjától a késedelem megszűnésének időpontjáig minden megkezdett hónapra 2.000,- Ft:</w:t>
            </w:r>
            <w:r w:rsidRPr="00634ED1">
              <w:rPr>
                <w:rFonts w:ascii="Arial" w:hAnsi="Arial" w:cs="Arial"/>
                <w:color w:val="000000"/>
              </w:rPr>
              <w:br/>
              <w:t>c) Késedelmi kamat összege</w:t>
            </w:r>
          </w:p>
        </w:tc>
      </w:tr>
      <w:tr w:rsidR="00634ED1" w:rsidRPr="00634ED1" w:rsidTr="00634ED1">
        <w:trPr>
          <w:trHeight w:val="108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2.2 A kamat és a rendelkezésre tartási díj megfizetése igazodik a Hitelkérelemben megjelölt Bankszámla 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látraszóló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 xml:space="preserve"> kamat elszámolási esedékességeihez, amelyről a bankszámlaszerződés és a Bank mindenkor érvényes Általános Kondíciós Listája rendelkezik. Ha a Folyószámlahitel szerződést bármely Fél felmondja, úgy a kamat és a rendelkezésre tartási díj megfizetése a Szerződés felmondásának napján esedékes.</w:t>
            </w:r>
          </w:p>
        </w:tc>
      </w:tr>
      <w:tr w:rsidR="00634ED1" w:rsidRPr="00634ED1" w:rsidTr="00634ED1">
        <w:trPr>
          <w:trHeight w:val="57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2.3 A Bank kamatot azokra a napokra és olyan összeg után számít fel, amelyeken és amilyen összegben a Hitelkeretet az Adós igénybe vette.</w:t>
            </w:r>
          </w:p>
        </w:tc>
      </w:tr>
      <w:tr w:rsidR="00634ED1" w:rsidRPr="00634ED1" w:rsidTr="00634ED1">
        <w:trPr>
          <w:trHeight w:val="81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2.4 Az egy napra eső kamat számításának módja:</w:t>
            </w:r>
            <w:r w:rsidRPr="00634ED1">
              <w:rPr>
                <w:rFonts w:ascii="Arial" w:hAnsi="Arial" w:cs="Arial"/>
                <w:color w:val="000000"/>
              </w:rPr>
              <w:br/>
              <w:t xml:space="preserve">                                                       </w:t>
            </w:r>
            <w:r w:rsidRPr="00634ED1">
              <w:rPr>
                <w:rFonts w:ascii="Arial" w:hAnsi="Arial" w:cs="Arial"/>
                <w:color w:val="000000"/>
                <w:u w:val="single"/>
              </w:rPr>
              <w:t>igénybevett hitelkeret összege x kamatláb (%-ban)</w:t>
            </w:r>
            <w:r w:rsidRPr="00634ED1">
              <w:rPr>
                <w:rFonts w:ascii="Arial" w:hAnsi="Arial" w:cs="Arial"/>
                <w:color w:val="000000"/>
              </w:rPr>
              <w:br/>
              <w:t xml:space="preserve">                                                                                      36000</w:t>
            </w:r>
          </w:p>
        </w:tc>
      </w:tr>
      <w:tr w:rsidR="00634ED1" w:rsidRPr="00634ED1" w:rsidTr="00634ED1">
        <w:trPr>
          <w:trHeight w:val="795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2.5 Az Adós a kamatok, a kezelési díj(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ak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) és a rendelkezésre tartási díjak megfizetéséhez szükséges fedezetet köteles a Bankszámláján rendelkezésre tartani. Az Adós a Folyószámlahitel szerződés aláírásával egyidejűleg hozzájárul ahhoz, hogy a Bank a kamatok, a kezelési díj(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ak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) és a rendelkezésre tartási díjak összegével Bankszámláját megterhelje.</w:t>
            </w:r>
          </w:p>
        </w:tc>
      </w:tr>
      <w:tr w:rsidR="00634ED1" w:rsidRPr="00634ED1" w:rsidTr="00634ED1">
        <w:trPr>
          <w:trHeight w:val="2085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2.6 A Bank a Folyószámlahitel szerződés aláírása után az Adós kérelmére végrehajtott minden módosítás esetén jogosult szerződésmódosítási díjat felszámolni, Az Adós köteles a szerződésmódosítást megelőzően megfizetni a szerződésmódosítási díjat a Különös Rész I.2 pontja szerinti Bankszámlájára, melyet a Bank megterhel. A szerződésmódosítási díj a Folyószámlahitel szerződés módosításával kapcsolatban felmerült adminisztrációs, számítástechnikai, adatrögzítési, kockázatelemzési, és egyéb költségeket fedezi. Szerződésmódosításnak minősül minden olyan e Szerződést érintő változtatás, amely a </w:t>
            </w:r>
            <w:r w:rsidRPr="00634ED1">
              <w:rPr>
                <w:rFonts w:ascii="Arial" w:hAnsi="Arial" w:cs="Arial"/>
                <w:color w:val="000000"/>
              </w:rPr>
              <w:lastRenderedPageBreak/>
              <w:t>jogviszony tartalmát, illetve tartamát érinti. A szerződésmódosítás körébe tartozik különösen az Adós személyében történő változás átvezetése, a Hitelkeret összegének emelése, illetve a csökkentése. A szerződésmódosítási díjat a Hitelkeret összege után kell megfizetni; a Hitelkeret emelése esetében a teljes, emelt összegű Hitelkeret után, a Hitelkeret csökkentése esetén a csökkentett Hitelkeret összege után</w:t>
            </w:r>
            <w:r w:rsidRPr="00634ED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634ED1" w:rsidRPr="00634ED1" w:rsidTr="00634ED1">
        <w:trPr>
          <w:trHeight w:val="27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2.7 A Felek rögzítik, hogy a Bank a Folyószámlahitel szerződés alapján előtörlesztési díjat nem számít fel.</w:t>
            </w:r>
          </w:p>
        </w:tc>
      </w:tr>
      <w:tr w:rsidR="00634ED1" w:rsidRPr="00634ED1" w:rsidTr="00634ED1">
        <w:trPr>
          <w:trHeight w:val="108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2.8 A Folyószámlahitel szerződés szerződésszerű teljesítésével közvetlenül nem összefüggő, a THM számítása során figyelembe nem vett esetleges díjakat, költségeket és azok mértékét a Bank mindenkori vonatkozó Hirdetménye és lakossági Általános Kondíciós Listája tartalmazza. Az Adós a Folyószámlahitel szerződés aláírásával egyidejűleg hozzájárul ahhoz, hogy a Bank THM számítása során figyelembe nem vett esetleges díjak és költségek összegével a Bankszámláját megterhelje.</w:t>
            </w:r>
          </w:p>
        </w:tc>
      </w:tr>
      <w:tr w:rsidR="00634ED1" w:rsidRPr="00634ED1" w:rsidTr="00634ED1">
        <w:trPr>
          <w:trHeight w:val="1290"/>
        </w:trPr>
        <w:tc>
          <w:tcPr>
            <w:tcW w:w="1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2.9 A kamaton kívüli díjak és költségek egyoldalú módosítására a Bank Általános Szerződési Feltételeinek a kamaton kívüli díj és költség egyoldalú módosítása esetére irányadó szabályai szerinti módon, a fogyasztóknak nyújtott hitelről szóló törvénynek megfelelően jogosult, amelyről az Adóst legalább 30 nappal megelőzően papíron, vagy más tartós adathordozón, és a Bank Hirdetménye vagy Kondíciós Listája módosítása útján értesíti. A Banki követelések és igények érvényesítésével kapcsolatos díjak, költségek - ideértve az esetleges behajtási és végrehajtási költségeket - a közjegyző tájékoztatása szerint is változhatnak.</w:t>
            </w:r>
          </w:p>
          <w:p w:rsidR="00634ED1" w:rsidRPr="00634ED1" w:rsidRDefault="00634ED1" w:rsidP="00634ED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34ED1" w:rsidRPr="00634ED1" w:rsidRDefault="00634ED1" w:rsidP="00634ED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color w:val="000000"/>
        </w:rPr>
      </w:pPr>
      <w:r w:rsidRPr="00634ED1">
        <w:rPr>
          <w:rFonts w:ascii="Arial" w:hAnsi="Arial" w:cs="Arial"/>
          <w:b/>
          <w:bCs/>
          <w:color w:val="000000"/>
        </w:rPr>
        <w:t>Késedelmi kamat, illetve a fizetés elmulasztásához kapcsolódó egyéb, a Bank részére megfizetendő költség(</w:t>
      </w:r>
      <w:proofErr w:type="spellStart"/>
      <w:r w:rsidRPr="00634ED1">
        <w:rPr>
          <w:rFonts w:ascii="Arial" w:hAnsi="Arial" w:cs="Arial"/>
          <w:b/>
          <w:bCs/>
          <w:color w:val="000000"/>
        </w:rPr>
        <w:t>ek</w:t>
      </w:r>
      <w:proofErr w:type="spellEnd"/>
      <w:r w:rsidRPr="00634ED1">
        <w:rPr>
          <w:rFonts w:ascii="Arial" w:hAnsi="Arial" w:cs="Arial"/>
          <w:b/>
          <w:bCs/>
          <w:color w:val="000000"/>
        </w:rPr>
        <w:t>)</w:t>
      </w:r>
    </w:p>
    <w:p w:rsidR="00634ED1" w:rsidRPr="00634ED1" w:rsidRDefault="00634ED1" w:rsidP="00634ED1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10632"/>
      </w:tblGrid>
      <w:tr w:rsidR="00634ED1" w:rsidRPr="00634ED1" w:rsidTr="00634ED1">
        <w:trPr>
          <w:trHeight w:val="129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3.1 Amennyiben az Adós a Folyószámlahitel szerződésből eredő tőketörlesztési- és kamatfizetési, illetve hiteldíj fizetési kötelezettségének esedékességkor nem tesz eleget, a késedelem idejére a lejárt tőke-, és kamattartozás, illetve egyéb hiteldíj tartozás után a Folyószámlahitel szerződésben meghatározott ügyleti kamaton felül évi 6,00 %, azaz hat százalék késedelmi kamatot köteles fizetni. A késedelmi kamatszámítás első napja a késedelembe esés napja, utolsó napja pedig a teljesítés / befizetés számlán történő jóváírását megelőző nap.</w:t>
            </w:r>
          </w:p>
        </w:tc>
      </w:tr>
      <w:tr w:rsidR="00634ED1" w:rsidRPr="00634ED1" w:rsidTr="00634ED1">
        <w:trPr>
          <w:trHeight w:val="129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3.2 A Szerződő Felek – a Különös részben foglaltakkal összhangban – megállapodnak abban, hogy amennyiben az Adós az igénybe vett kölcsön(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ök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 xml:space="preserve">) megfizetésével késedelembe esik, akkor az Adós köteles megtéríteni a Banknak az általa végzett behajtási tevékenysége költségeinek a fedezésére, a késedelembe esés időpontjától számított 90 napos késedelemig minden megkezdett hónapra 1.000,- Ft összeget, míg a 90 napos késedelembe </w:t>
            </w:r>
            <w:r w:rsidRPr="00634ED1">
              <w:rPr>
                <w:rFonts w:ascii="Arial" w:hAnsi="Arial" w:cs="Arial"/>
                <w:color w:val="000000"/>
              </w:rPr>
              <w:lastRenderedPageBreak/>
              <w:t>esés időpontjától a késedelem megszűnésének időpontjáig minden megkezdett hónapra 2.000,- Ft összeget.</w:t>
            </w:r>
          </w:p>
        </w:tc>
      </w:tr>
    </w:tbl>
    <w:p w:rsidR="00634ED1" w:rsidRPr="00634ED1" w:rsidRDefault="00634ED1" w:rsidP="00634ED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color w:val="000000"/>
        </w:rPr>
      </w:pPr>
      <w:r w:rsidRPr="00634ED1">
        <w:rPr>
          <w:rFonts w:ascii="Arial" w:hAnsi="Arial" w:cs="Arial"/>
          <w:b/>
          <w:bCs/>
          <w:color w:val="000000"/>
        </w:rPr>
        <w:lastRenderedPageBreak/>
        <w:t>A kölcsön visszafizetésének biztosítékai, kötelezettségvállalások</w:t>
      </w:r>
    </w:p>
    <w:p w:rsidR="00634ED1" w:rsidRPr="00634ED1" w:rsidRDefault="00634ED1" w:rsidP="00634ED1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10632"/>
      </w:tblGrid>
      <w:tr w:rsidR="00634ED1" w:rsidRPr="00634ED1" w:rsidTr="00634ED1">
        <w:trPr>
          <w:trHeight w:val="129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4.1 Az Adós a Folyószámlahitel szerződés aláírásával vállalja, és ilyen módon köteles legalább a Folyószámlahitel szerződésben a Hitelkeret induló összegének megállapítása alapjául, szolgáló rendszeres, havi nettó jövedelmét (egyszerre vagy több részletben) bér-, illetve nyugdíj jellegű jóváírásként a Személyi jövedelemadóról szóló 1995. évi CXVII. törvénynek (Szja tv.) szerinti bér vagy nyugdíj jogcímén (továbbiakban a „jövedelem”) minden hónapban a Banknál vezetett, a Hitelkérelemben megjelölt Bankszámlájára átutalni vagy átutaltatni. A Hitelkeret összegének megállapítása alapjául, szolgáló rendszeres, havi nettó jövedelemnek megfelelő bér vagy nyugdíj jogcímén elvárt összeg:</w:t>
            </w:r>
          </w:p>
        </w:tc>
      </w:tr>
      <w:tr w:rsidR="00634ED1" w:rsidRPr="00634ED1" w:rsidTr="00634ED1">
        <w:trPr>
          <w:trHeight w:val="2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-  Hitelkeret induló összege osztva</w:t>
            </w:r>
          </w:p>
        </w:tc>
      </w:tr>
      <w:tr w:rsidR="00634ED1" w:rsidRPr="00634ED1" w:rsidTr="00634ED1">
        <w:trPr>
          <w:trHeight w:val="8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-  A Folyószámlahitel szerződés Különös Részének I.1. pontjában megjelölt Hitelkeret induló keretösszege valamint a megállapítása alapjául szolgáló, a hitelbírálat során elfogadott rendszeres havi nettó jövedelem arányszámával (az arányszám a Folyószámlahitel szerződés Különös Részének I.1. pontjában megjelölt 100% esetén 1, 200% esetén 2,, 300% esetén 3). Start folyószámlahitel igénylése esetén a hitelkeret maximum 100.000 Ft lehet, függetlenül az Adós esetlegesen magasabb nettó jövedelmétől.</w:t>
            </w:r>
          </w:p>
        </w:tc>
      </w:tr>
      <w:tr w:rsidR="00634ED1" w:rsidRPr="00634ED1" w:rsidTr="00634ED1">
        <w:trPr>
          <w:trHeight w:val="228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4.2 A Felek megállapodnak, hogy amennyiben az Adós a Folyószámlahitel szerződés alapján keletkező bármilyen fizetési kötelezettségének esedékességkor nem tesz eleget, a Bank jogosult beszámítási jogával élve minden más fizetési megbízást megelőzően a lejárt tartozás és annak járulékai összegével az Adós bármely, a Banknál vezetett bankszámláját (fizetési-számláját), mint folyószámlát megterhelni, a hatályos pénzforgalmi jogszabályokban, valamint a Hirdetményben meghatározottak szerint (és szükség esetén konverziót végrehajtani) annak érdekében, hogy esedékességkor a törlesztéshez (kamatfizetéshez) szükséges deviza rendelkezésre álljon. Konverzió esetében a konverzió az esedékesség napján a Bank által jegyzett deviza 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középárfolyamo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ko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)n forint közvetítésével történik. Amennyiben az esedékesség napján nem áll rendelkezésre az esedékessé vált összeg az Adós Bankszámláján, úgy a Bank a konverziót a bankszámlán történt jóváírás napján a Bank által jegyzett deviza középárfolyamon hajtja végre. A Bank forint devizára történő átváltása esetén a Bank által jegyzett deviza középárfolyamot alkalmaz.</w:t>
            </w:r>
          </w:p>
        </w:tc>
      </w:tr>
    </w:tbl>
    <w:p w:rsidR="00634ED1" w:rsidRPr="00634ED1" w:rsidRDefault="00634ED1" w:rsidP="00634ED1">
      <w:pPr>
        <w:jc w:val="both"/>
        <w:rPr>
          <w:rFonts w:ascii="Arial" w:hAnsi="Arial" w:cs="Arial"/>
        </w:rPr>
      </w:pPr>
    </w:p>
    <w:p w:rsidR="00634ED1" w:rsidRPr="00634ED1" w:rsidRDefault="00634ED1" w:rsidP="00634ED1">
      <w:pPr>
        <w:pStyle w:val="Listaszerbekezds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color w:val="000000"/>
        </w:rPr>
      </w:pPr>
      <w:r w:rsidRPr="00634ED1">
        <w:rPr>
          <w:rFonts w:ascii="Arial" w:hAnsi="Arial" w:cs="Arial"/>
          <w:b/>
          <w:bCs/>
          <w:color w:val="000000"/>
        </w:rPr>
        <w:t>Általános rendelkezések</w:t>
      </w: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10632"/>
      </w:tblGrid>
      <w:tr w:rsidR="00634ED1" w:rsidRPr="00634ED1" w:rsidTr="00634ED1">
        <w:trPr>
          <w:trHeight w:val="30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5.1 A Szerződést jogosult mindkét Fél – a Polgári Törvénykönyvben foglalt felmondási okokon kívül – 15 napos határidővel írásban felmondani. A Szerződés Adós általi felmondása külön díjfizetési kötelezettséggel nem jár. A Folyószámlahitel szerződés vonatkozásában - a Bank mindenkori Kockázatvállalási Üzletszabályzatában valamint a Polgári Törvénykönyvben meghatározott eseteken kívül - különösen az alábbi események minősülnek felmondási oknak, amelyek alapot szolgáltatnak a Bank részére a Szerződés felmondására:</w:t>
            </w: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- amennyiben a vállalt havi jövedelem jóváírás devizaneme nem egyezik meg a Hitelkeret devizanemével, abban az esetben, ha a Hitelkeret devizaneme nem forintban került megállapításra;</w:t>
            </w: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- olyan esemény történik vagy olyan körülmény áll be, amely az Adós adósságszolgálati képességét vagy annak jövőbeli kilátásait jelentős mértékben és kedvezőtlenül befolyásolhatja, és ezáltal a Bank megalapozottan feltételezheti, hogy az Adós a Bankkal kötött szerződéséből eredő, jelenleg fennálló és jövőbeli kötelezettségeit nem lesz képes teljesíteni;</w:t>
            </w: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Fizetésképtelenséghez közeli állapotnak tekinthetőek az alábbiak:</w:t>
            </w:r>
          </w:p>
        </w:tc>
      </w:tr>
      <w:tr w:rsidR="00634ED1" w:rsidRPr="00634ED1" w:rsidTr="00634ED1">
        <w:trPr>
          <w:trHeight w:val="5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a.)  az Adós nem képes tartozásai teljesítésére azok esedékességekor, és egy vagy több hitelezőjével tárgyalásokat kezd annak érdekében, hogy adósságát teljes egészében átütemezzék;</w:t>
            </w:r>
          </w:p>
        </w:tc>
      </w:tr>
      <w:tr w:rsidR="00634ED1" w:rsidRPr="00634ED1" w:rsidTr="00634ED1">
        <w:trPr>
          <w:trHeight w:val="5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b.)  bírósági, hatósági kötelezés, inkasszó az Adós együttesen 1.000.000,</w:t>
            </w:r>
            <w:proofErr w:type="spellStart"/>
            <w:r w:rsidRPr="00634ED1">
              <w:rPr>
                <w:rFonts w:ascii="Arial" w:hAnsi="Arial" w:cs="Arial"/>
                <w:color w:val="000000"/>
              </w:rPr>
              <w:t>-Ft-ot</w:t>
            </w:r>
            <w:proofErr w:type="spellEnd"/>
            <w:r w:rsidRPr="00634ED1">
              <w:rPr>
                <w:rFonts w:ascii="Arial" w:hAnsi="Arial" w:cs="Arial"/>
                <w:color w:val="000000"/>
              </w:rPr>
              <w:t>, meghaladó fizetési kötelezettségét írja elő – ide értve a nem jogerős határozatokat, okiratokat is;</w:t>
            </w:r>
          </w:p>
        </w:tc>
      </w:tr>
      <w:tr w:rsidR="00634ED1" w:rsidRPr="00634ED1" w:rsidTr="00634ED1">
        <w:trPr>
          <w:trHeight w:val="5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c.)  az Adós nem teljesíti a jogerős ítéletben, vagy végzésben foglalt, a kölcsön visszafizetését veszélyeztető, vagy a kölcsön összegéhez mérten jelentős mértékű fizetési kötelezettségét.</w:t>
            </w:r>
          </w:p>
        </w:tc>
      </w:tr>
      <w:tr w:rsidR="00634ED1" w:rsidRPr="00634ED1" w:rsidTr="00634ED1">
        <w:trPr>
          <w:trHeight w:val="28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d)  Az Adós ellen végrehajtási eljárás indul;</w:t>
            </w:r>
          </w:p>
        </w:tc>
      </w:tr>
      <w:tr w:rsidR="00634ED1" w:rsidRPr="00634ED1" w:rsidTr="00634ED1">
        <w:trPr>
          <w:trHeight w:val="8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5.2.1 A Bank jogosult a Hitelkeret terhére a kölcsön folyósítását felfüggeszteni, vagy megtagadni, amennyiben az Adós ellen végrehajtási eljárás indul valamint egyéb olyan esetben, amikor olyan lényeges változás következett be, amely alapján a Banktól a Szerződés teljesítése többé nem elvárható, illetve az Adós a Bank írásbeli felszólítására nem nyújtott megfelelő biztosítékot.</w:t>
            </w:r>
          </w:p>
        </w:tc>
      </w:tr>
      <w:tr w:rsidR="00634ED1" w:rsidRPr="00634ED1" w:rsidTr="00634ED1">
        <w:trPr>
          <w:trHeight w:val="106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5.2.2 A Bank jogosult a Hitelkeret terhére a kölcsön folyósítását felfüggeszteni, vagy megtagadni amennyiben két egymást követő hónapban nem teljesül maradéktalanul az Adós által a Szerződés Általános Részének 4.1. pontjában kötelezően vállalt rendszeres havi jövedelem jóváírás. A Hitelkeret terhére történő kölcsön folyósítását a Bank a késedelemmel érintett második hónapot soron követő második hónap első napjáig tagadja meg.</w:t>
            </w:r>
          </w:p>
        </w:tc>
      </w:tr>
      <w:tr w:rsidR="00634ED1" w:rsidRPr="00634ED1" w:rsidTr="00634ED1">
        <w:trPr>
          <w:trHeight w:val="20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lastRenderedPageBreak/>
              <w:t>5.3 A Bank jogosult a Szerződést azonnali hatállyal felmondani, amennyiben az Adós a Folyószámlahitel szerződésből eredő fizetési kötelezettségeivel – így különösen a tőketartozás, kamat, díjak, esetleges késedelmi kamat megfizetését – legalább a Hitelkeret összege egy tizenketted részének megfelelő összegben 2 hónapon keresztül folyamatos késedelembe esett, az Adós a Folyószámlahitel szerződés Általános Részének 4.1. pontjában kötelezően vállalt rendszeres havi jövedelem jóváírás összegét kettő egymást követő hónapban egyáltalán nem teljesíti, vagy az alacsonyabb összegű jóváírások alapján a Módosult összegű hitelkeret összege nem érné el a Hitelkeret induló összegének 40%-át és a vállalt kötelezettségét a bank írásbeli felszólítása ellenére, az abban megjelölt határidőben sem teljesíti.</w:t>
            </w:r>
          </w:p>
        </w:tc>
      </w:tr>
      <w:tr w:rsidR="00634ED1" w:rsidRPr="00634ED1" w:rsidTr="00634ED1">
        <w:trPr>
          <w:trHeight w:val="10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5.4 A Felek megállapodnak abban, hogy az Adósnak a mindenkor fennálló esedékes tartozása, illetve annak összegszerűsége tekintetében a Bank nyilvántartása, kimutatása az irányadó. A Bank saját kimutatása alapján jogosult az Adós esedékes tartozását közjegyzői tanúsítványba foglaltatni. E ténytanúsítvány az Adós terhére fennálló kölcsön- és járuléktartozás közokirati tanúsítása, amelynek alapján a Bank a tartozás behajtását kezdeményezheti.</w:t>
            </w:r>
          </w:p>
        </w:tc>
      </w:tr>
      <w:tr w:rsidR="00634ED1" w:rsidRPr="00634ED1" w:rsidTr="00634ED1">
        <w:trPr>
          <w:trHeight w:val="15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5.5 Az Adós a Folyószámlahitel szerződéstől a szerződéskötés napjától számított tizennégy napon belül indokolás nélkül elállhat, ha a hitelkeret terhére kölcsön folyósítására még nem került sor. Az Adós a szerződéskötés napjától számított tizennégy napon belül díjmentesen felmondhatja a Folyószámlahitel szerződést, ha a Bank a kölcsönt már folyósította a hitelkeret terhére. Az Adós az elállásról (felmondásról) szóló nyilatkozatának elküldését követően haladéktalanul, de legkésőbb 30 napon belül köteles a felvett hitelösszeget és a kölcsön lehívásának időpontjától a visszafizetés időpontjáig felszámítható, a Szerződés szerint megállapított hitelkamatot, </w:t>
            </w:r>
            <w:r w:rsidRPr="00634ED1">
              <w:rPr>
                <w:rFonts w:ascii="Arial" w:hAnsi="Arial" w:cs="Arial"/>
              </w:rPr>
              <w:t xml:space="preserve">és egyéb hiteldíjat </w:t>
            </w:r>
            <w:r w:rsidRPr="00634ED1">
              <w:rPr>
                <w:rFonts w:ascii="Arial" w:hAnsi="Arial" w:cs="Arial"/>
                <w:color w:val="000000"/>
              </w:rPr>
              <w:t>a Banknak visszafizetni.</w:t>
            </w:r>
          </w:p>
        </w:tc>
      </w:tr>
      <w:tr w:rsidR="00634ED1" w:rsidRPr="00634ED1" w:rsidTr="00634ED1">
        <w:trPr>
          <w:trHeight w:val="75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5.6 Az Adós Hitelkérelemben foglalt szerződéskötési nyilatkozatát a Szerződés megkötéséig – Bank általi aláírásig - a Banknak küldött írásbeli értesítéssel díj- és költségmentesen visszavonhatja, a nyilatkozatban foglalt ajánlat ezen rendelkezés szerint nem köti az Adóst.</w:t>
            </w:r>
          </w:p>
        </w:tc>
      </w:tr>
      <w:tr w:rsidR="00634ED1" w:rsidRPr="00634ED1" w:rsidTr="00634ED1">
        <w:trPr>
          <w:trHeight w:val="8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5.7 A Folyószámlahitel szerződésben nem szabályozott kérdésekben a Bank mindenkor hatályos Általános Szerződési Feltételei és a Bank mindenkor hatályos Kockázatvállalási Üzletszabályzata, a Különös részben hivatkozott Hirdetményei, a Polgári Törvénykönyv, az egyéb vonatkozó magyar jogszabályok az irányadóak.</w:t>
            </w:r>
          </w:p>
        </w:tc>
      </w:tr>
      <w:tr w:rsidR="00634ED1" w:rsidRPr="00634ED1" w:rsidTr="00634ED1">
        <w:trPr>
          <w:trHeight w:val="18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 xml:space="preserve">5.8 A Felek között a folyószámlahitel nyújtására irányuló szerződés a Hitelkérelem Bank általi elfogadásával jön létre, amelyről az Adóst a Bank írásban tájékoztatja. A Felek megállapítják, hogy a Hitelkérelem mint Folyószámla-hitelszerződés Különös Rész a hozzá tartozó Folyószámlahitel szerződési feltételekkel mint Folyószámlahitel-szerződés Általános </w:t>
            </w:r>
            <w:r w:rsidRPr="00634ED1">
              <w:rPr>
                <w:rFonts w:ascii="Arial" w:hAnsi="Arial" w:cs="Arial"/>
                <w:color w:val="000000"/>
              </w:rPr>
              <w:lastRenderedPageBreak/>
              <w:t>Résszel, valamint a Bank által az Adósnak küldött írásbeli értesítésekkel, valamint a mindenkori Hirdetmény, az Általános Szerződési Feltételek és a Kockázatvállalási Üzletszabályzat együtt alkotják a Felek között létrejött jogviszony kapcsán megkötött szerződést. Az Adós kijelenti, hogy a hatályos Hirdetményt, az Általános Szerződési Feltételeket és a Kockázatvállalási Üzletszabályzatot megismerte, és a Folyószámlahitel szerződés aláírásával egyidejűleg azok egy példányát átvette, és azok tartalmát magára nézve kötelezőnek elfogadja.</w:t>
            </w:r>
          </w:p>
        </w:tc>
      </w:tr>
      <w:tr w:rsidR="00634ED1" w:rsidRPr="00634ED1" w:rsidTr="00634ED1">
        <w:trPr>
          <w:trHeight w:val="15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5.9 Az Adós tudomásul veszi, hogy a kamatot, a Szerződésben szereplő díjak illetve egyéb költségek mértékét a Bank a szerződéskötés időpontjában érvényesülő forrásköltségek, refinanszírozási költségek, a banki eljárások költségei, az ügyfélhez illetve az ügylethez tartozó kockázatok, valamint a hasonló pénzpiaci termékek kamatlábai referencia kamatai, kamatfelárai, díjai és egyéb költségei figyelembevételével határozza meg. Hasonló pénzpiaci termékeknek tekintik a felek a Kölcsön céljával azonos célú, devizanemű más hitelintézetek által nyújtott kölcsönöket, hiteleket, ide nem értve a meghatározott fogyasztói kör részére, időszakosan speciális feltételekkel kínált termékeket.</w:t>
            </w:r>
          </w:p>
        </w:tc>
      </w:tr>
      <w:tr w:rsidR="00634ED1" w:rsidRPr="00634ED1" w:rsidTr="00634ED1">
        <w:trPr>
          <w:trHeight w:val="8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</w:p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5.10 A Felek megállapodnak, hogy amennyiben az Adós teljesítése az esedékessé vált, de meg nem fizetett tartozás kiegyenlítésére maradéktalanul nem elegendő, úgy a Bank az Adós által megfizetett összeget elsősorban a késedelmi kamat, másodsorban a kamat és az egyéb díjak, költségek harmadsorban pedig a tőketartozások megfizetésére fordítja.</w:t>
            </w:r>
          </w:p>
        </w:tc>
      </w:tr>
      <w:tr w:rsidR="00634ED1" w:rsidRPr="00634ED1" w:rsidTr="00634ED1">
        <w:trPr>
          <w:trHeight w:val="5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color w:val="000000"/>
              </w:rPr>
            </w:pPr>
            <w:r w:rsidRPr="00634ED1">
              <w:rPr>
                <w:rFonts w:ascii="Arial" w:hAnsi="Arial" w:cs="Arial"/>
                <w:color w:val="000000"/>
              </w:rPr>
              <w:t>5.12 A Folyószámlahitel szerződésből fakadó esetleges jogvitákkal összefüggésben a Bank előzetesen, önkéntesen nem veti alá magát peren kívüli vitarendezési fórum illetékességének.</w:t>
            </w:r>
          </w:p>
        </w:tc>
      </w:tr>
      <w:tr w:rsidR="00634ED1" w:rsidRPr="00634ED1" w:rsidTr="00634ED1">
        <w:trPr>
          <w:trHeight w:val="54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4ED1" w:rsidRPr="00634ED1" w:rsidRDefault="00634ED1" w:rsidP="00634ED1">
            <w:pPr>
              <w:ind w:left="1423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34ED1">
              <w:rPr>
                <w:rFonts w:ascii="Arial" w:hAnsi="Arial" w:cs="Arial"/>
                <w:b/>
                <w:bCs/>
                <w:color w:val="000000"/>
              </w:rPr>
              <w:t>5.13 A Bank tájékoztatja az Adóst, hogy az Általános Rész 1.3., 1.7., 4.1., 5.2.2. és 5.3. pontjaiban foglalt rendelkezések lényegesen eltérnek a jogszabályoktól, illetve  szokásos szerződési gyakorlattól.</w:t>
            </w:r>
          </w:p>
        </w:tc>
      </w:tr>
    </w:tbl>
    <w:p w:rsidR="00634ED1" w:rsidRPr="00634ED1" w:rsidRDefault="00634ED1" w:rsidP="00FF4DD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4ED1">
        <w:rPr>
          <w:rFonts w:ascii="Arial" w:hAnsi="Arial" w:cs="Arial"/>
          <w:b/>
        </w:rPr>
        <w:t>XXXIV. Az elektronikus úton történő szerződéskötésre vonatkozó szabályokról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  <w:color w:val="000000"/>
        </w:rPr>
        <w:t>Szerződéskötés technikai lépései: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Az ügyfél a videós azonosításra felkészített honlapokon keresztül érheti el, az ezen folyamat kezdeményezéséhez szükséges funkciókat. 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lépés: Online előkalkuláció és regisztráció, adatok megadása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Szükséges dokumentumok feltöltése a rendszerbe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lastRenderedPageBreak/>
        <w:t>A megfelelő adatok megadása után és a dokumentumok feltöltésének ellenőrzését követően email érkezik az ügyfélnek, melyben megtalálható a videós azonosítás elérésére szolgáló link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A linkre kattintva az ügyfél a videós azonosítás várakozó felületére kerül, ahonnan bekapcsolódnak az ügyintézőkhöz. 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Az azonosítás folyamán szükség lesz a megfelelő azonosítási dokumentumok bemutatására is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Az azonosítást követően a hitelbírálati folyamat első szakasza elindul 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Ezt követően az ügyfél újabb </w:t>
      </w:r>
      <w:proofErr w:type="spellStart"/>
      <w:r w:rsidRPr="00634ED1">
        <w:rPr>
          <w:rFonts w:ascii="Arial" w:hAnsi="Arial" w:cs="Arial"/>
        </w:rPr>
        <w:t>emailt</w:t>
      </w:r>
      <w:proofErr w:type="spellEnd"/>
      <w:r w:rsidRPr="00634ED1">
        <w:rPr>
          <w:rFonts w:ascii="Arial" w:hAnsi="Arial" w:cs="Arial"/>
        </w:rPr>
        <w:t xml:space="preserve"> kap, melyre kattintva elérheti az igénylési dokumentációt, melyet el tud fogadni a felületen. A felületre való bejelentkezéshez a regisztrációkor megadott email és jelszó páros szükséges. Amennyiben az ügyfél mégsem szeretné a felajánlott terméket igényelni, úgy ebben a lépésben lehetősége van elutasítani azt. 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Az igénylési dokumentumok jóváhagyását követően a bank hitelbírálati folyamatának második szakaszában elkészülnek a végleges szerződéses dokumentumok, melyet a Bank a felületen elektronikus aláírással ellát. 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Az ügyfél a dokumentum banki aláírását követően le tudja tölteni a végleges szerződését a korábban megkapott linken keresztül. </w:t>
      </w:r>
    </w:p>
    <w:p w:rsidR="00634ED1" w:rsidRPr="00634ED1" w:rsidRDefault="00634ED1" w:rsidP="00634ED1">
      <w:pPr>
        <w:pStyle w:val="Listaszerbekezds"/>
        <w:widowControl w:val="0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A végleges dokumentum aláírását követően a folyósítás a megadott számlaszámra megkezdődik.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A Fogyasztónak lehetősége van a Bank által meghatározott termékek vonatkozásában arra, hogy a Hpt. 279. § (1) bekezdése szerint legalább fokozott biztonságú elektronikus aláírással szerződést köthessen.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 xml:space="preserve">Az elektronikus úton megkötendő szerződés magyar nyelvű és a vonatkozó jogszabályok szerint írásbeli szerződésnek minősül. Az elektronikus úton megkötött szerződés a Fogyasztó számára a szerződés részére történt első elektronikus továbbításakor és azt követően 30 napig hozzáférhető. E határidő lejártát követően a Fogyasztó bármikor kérheti a Banktól, hogy az általa megadott email címre továbbítsa az elektronikus létrejött szerződés csomagját. A Bank nem vállal felelősséget azért, ha a Fogyasztó által megadott email postafiók mérete vagy annak telítettsége folytán nem tudja fogadni a Bank által megküldött szerződés csomagot. 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Amennyiben a Fogyasztó az elektronikus szerződés aláírását megelőzően a szerződés tartalmában hibát észlel, akkor a Fogyasztónak lehetősége van oly módon is elutasítani az elektronikus szerződés aláírását, hogy azt akként javítja, hogy jelzi az általa észlelt hibát a Banknak, amely azt a megjelölt hiba/hibák kijavításával átvezeti és az elektronikus szerződést ismételten megküldi.</w:t>
      </w: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4ED1" w:rsidRPr="00634ED1" w:rsidRDefault="00634ED1" w:rsidP="00634E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ED1">
        <w:rPr>
          <w:rFonts w:ascii="Arial" w:hAnsi="Arial" w:cs="Arial"/>
        </w:rPr>
        <w:t>Az elektronikus úton történő szerződéskötés minimális technikai rendszerkövetelményei:</w:t>
      </w:r>
    </w:p>
    <w:p w:rsidR="00634ED1" w:rsidRPr="00634ED1" w:rsidRDefault="00634ED1" w:rsidP="00634ED1">
      <w:pPr>
        <w:spacing w:after="300"/>
        <w:rPr>
          <w:rFonts w:ascii="Arial" w:hAnsi="Arial" w:cs="Arial"/>
          <w:color w:val="000000" w:themeColor="text1"/>
        </w:rPr>
      </w:pPr>
      <w:r w:rsidRPr="00634ED1">
        <w:rPr>
          <w:rFonts w:ascii="Arial" w:hAnsi="Arial" w:cs="Arial"/>
          <w:b/>
          <w:bCs/>
          <w:color w:val="FFFFFF"/>
        </w:rPr>
        <w:lastRenderedPageBreak/>
        <w:t xml:space="preserve"> </w:t>
      </w:r>
      <w:r w:rsidRPr="00634ED1">
        <w:rPr>
          <w:rFonts w:ascii="Arial" w:hAnsi="Arial" w:cs="Arial"/>
          <w:b/>
          <w:bCs/>
        </w:rPr>
        <w:t>eszközök:</w:t>
      </w:r>
      <w:r w:rsidRPr="00634ED1">
        <w:rPr>
          <w:rFonts w:ascii="Arial" w:hAnsi="Arial" w:cs="Arial"/>
        </w:rPr>
        <w:br/>
      </w:r>
      <w:r w:rsidRPr="00634ED1">
        <w:rPr>
          <w:rFonts w:ascii="Arial" w:hAnsi="Arial" w:cs="Arial"/>
          <w:color w:val="000000" w:themeColor="text1"/>
        </w:rPr>
        <w:t>Asztali számítógép (PC), Laptop (notebook), Mobiltelefonok (</w:t>
      </w:r>
      <w:proofErr w:type="spellStart"/>
      <w:r w:rsidRPr="00634ED1">
        <w:rPr>
          <w:rFonts w:ascii="Arial" w:hAnsi="Arial" w:cs="Arial"/>
          <w:color w:val="000000" w:themeColor="text1"/>
        </w:rPr>
        <w:t>okostelefonok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): </w:t>
      </w:r>
      <w:proofErr w:type="spellStart"/>
      <w:r w:rsidRPr="00634ED1">
        <w:rPr>
          <w:rFonts w:ascii="Arial" w:hAnsi="Arial" w:cs="Arial"/>
          <w:color w:val="000000" w:themeColor="text1"/>
        </w:rPr>
        <w:t>Android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OS 4+ és </w:t>
      </w:r>
      <w:proofErr w:type="spellStart"/>
      <w:r w:rsidRPr="00634ED1">
        <w:rPr>
          <w:rFonts w:ascii="Arial" w:hAnsi="Arial" w:cs="Arial"/>
          <w:color w:val="000000" w:themeColor="text1"/>
        </w:rPr>
        <w:t>Chrome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alkalmazás, vagy </w:t>
      </w:r>
      <w:proofErr w:type="spellStart"/>
      <w:r w:rsidRPr="00634ED1">
        <w:rPr>
          <w:rFonts w:ascii="Arial" w:hAnsi="Arial" w:cs="Arial"/>
          <w:color w:val="000000" w:themeColor="text1"/>
        </w:rPr>
        <w:t>Android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5+ beépített </w:t>
      </w:r>
      <w:proofErr w:type="spellStart"/>
      <w:r w:rsidRPr="00634ED1">
        <w:rPr>
          <w:rFonts w:ascii="Arial" w:hAnsi="Arial" w:cs="Arial"/>
          <w:color w:val="000000" w:themeColor="text1"/>
        </w:rPr>
        <w:t>Chrome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böngészővel, </w:t>
      </w:r>
      <w:proofErr w:type="spellStart"/>
      <w:r w:rsidRPr="00634ED1">
        <w:rPr>
          <w:rFonts w:ascii="Arial" w:hAnsi="Arial" w:cs="Arial"/>
          <w:color w:val="000000" w:themeColor="text1"/>
        </w:rPr>
        <w:t>iOS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4ED1">
        <w:rPr>
          <w:rFonts w:ascii="Arial" w:hAnsi="Arial" w:cs="Arial"/>
          <w:color w:val="000000" w:themeColor="text1"/>
        </w:rPr>
        <w:t>Safari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11+ böngészővel</w:t>
      </w:r>
    </w:p>
    <w:p w:rsidR="00634ED1" w:rsidRPr="00634ED1" w:rsidRDefault="00634ED1" w:rsidP="00634ED1">
      <w:pPr>
        <w:spacing w:after="300"/>
        <w:rPr>
          <w:rFonts w:ascii="Arial" w:hAnsi="Arial" w:cs="Arial"/>
          <w:color w:val="000000" w:themeColor="text1"/>
        </w:rPr>
      </w:pPr>
      <w:r w:rsidRPr="00634ED1">
        <w:rPr>
          <w:rFonts w:ascii="Arial" w:hAnsi="Arial" w:cs="Arial"/>
          <w:b/>
          <w:bCs/>
          <w:color w:val="000000" w:themeColor="text1"/>
        </w:rPr>
        <w:t>Támogatott böngészők:</w:t>
      </w:r>
      <w:r w:rsidRPr="00634ED1">
        <w:rPr>
          <w:rFonts w:ascii="Arial" w:hAnsi="Arial" w:cs="Arial"/>
          <w:color w:val="000000" w:themeColor="text1"/>
        </w:rPr>
        <w:br/>
      </w:r>
      <w:proofErr w:type="spellStart"/>
      <w:r w:rsidRPr="00634ED1">
        <w:rPr>
          <w:rFonts w:ascii="Arial" w:hAnsi="Arial" w:cs="Arial"/>
          <w:color w:val="000000" w:themeColor="text1"/>
        </w:rPr>
        <w:t>Google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4ED1">
        <w:rPr>
          <w:rFonts w:ascii="Arial" w:hAnsi="Arial" w:cs="Arial"/>
          <w:color w:val="000000" w:themeColor="text1"/>
        </w:rPr>
        <w:t>Chrome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v44 vagy frissebb,</w:t>
      </w:r>
      <w:proofErr w:type="spellStart"/>
      <w:r w:rsidRPr="00634ED1">
        <w:rPr>
          <w:rFonts w:ascii="Arial" w:hAnsi="Arial" w:cs="Arial"/>
          <w:color w:val="000000" w:themeColor="text1"/>
        </w:rPr>
        <w:t>Mozilla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4ED1">
        <w:rPr>
          <w:rFonts w:ascii="Arial" w:hAnsi="Arial" w:cs="Arial"/>
          <w:color w:val="000000" w:themeColor="text1"/>
        </w:rPr>
        <w:t>Firefox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v39 vagy frissebb Opera (2 évre visszamenőleg), Microsoft </w:t>
      </w:r>
      <w:proofErr w:type="spellStart"/>
      <w:r w:rsidRPr="00634ED1">
        <w:rPr>
          <w:rFonts w:ascii="Arial" w:hAnsi="Arial" w:cs="Arial"/>
          <w:color w:val="000000" w:themeColor="text1"/>
        </w:rPr>
        <w:t>Edge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15+, </w:t>
      </w:r>
      <w:proofErr w:type="spellStart"/>
      <w:r w:rsidRPr="00634ED1">
        <w:rPr>
          <w:rFonts w:ascii="Arial" w:hAnsi="Arial" w:cs="Arial"/>
          <w:color w:val="000000" w:themeColor="text1"/>
        </w:rPr>
        <w:t>Safari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11+ (a </w:t>
      </w:r>
      <w:proofErr w:type="spellStart"/>
      <w:r w:rsidRPr="00634ED1">
        <w:rPr>
          <w:rFonts w:ascii="Arial" w:hAnsi="Arial" w:cs="Arial"/>
          <w:color w:val="000000" w:themeColor="text1"/>
        </w:rPr>
        <w:t>Safari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8-10 verzió esetén a szolgáltatás böngésző kiegészítővel használható)</w:t>
      </w:r>
    </w:p>
    <w:p w:rsidR="00634ED1" w:rsidRPr="00634ED1" w:rsidRDefault="00634ED1" w:rsidP="00634ED1">
      <w:pPr>
        <w:spacing w:after="300"/>
        <w:rPr>
          <w:rFonts w:ascii="Arial" w:hAnsi="Arial" w:cs="Arial"/>
          <w:color w:val="000000" w:themeColor="text1"/>
        </w:rPr>
      </w:pPr>
      <w:r w:rsidRPr="00634ED1">
        <w:rPr>
          <w:rFonts w:ascii="Arial" w:hAnsi="Arial" w:cs="Arial"/>
          <w:b/>
          <w:bCs/>
          <w:color w:val="000000" w:themeColor="text1"/>
        </w:rPr>
        <w:t>Internetkapcsolat:</w:t>
      </w:r>
      <w:r w:rsidRPr="00634ED1">
        <w:rPr>
          <w:rFonts w:ascii="Arial" w:hAnsi="Arial" w:cs="Arial"/>
          <w:color w:val="000000" w:themeColor="text1"/>
        </w:rPr>
        <w:br/>
        <w:t xml:space="preserve">Minimum ADSL kapcsolat (1 </w:t>
      </w:r>
      <w:proofErr w:type="spellStart"/>
      <w:r w:rsidRPr="00634ED1">
        <w:rPr>
          <w:rFonts w:ascii="Arial" w:hAnsi="Arial" w:cs="Arial"/>
          <w:color w:val="000000" w:themeColor="text1"/>
        </w:rPr>
        <w:t>Mbps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vagy nagyobb sávszélesség javasolt). </w:t>
      </w:r>
      <w:proofErr w:type="spellStart"/>
      <w:r w:rsidRPr="00634ED1">
        <w:rPr>
          <w:rFonts w:ascii="Arial" w:hAnsi="Arial" w:cs="Arial"/>
          <w:color w:val="000000" w:themeColor="text1"/>
        </w:rPr>
        <w:t>Chromebook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felhasználóknál 3G vagy szélesebb kapcsolat (WIFI használata javasolt)</w:t>
      </w:r>
    </w:p>
    <w:p w:rsidR="00634ED1" w:rsidRPr="00634ED1" w:rsidRDefault="00634ED1" w:rsidP="00634ED1">
      <w:pPr>
        <w:rPr>
          <w:rFonts w:ascii="Arial" w:hAnsi="Arial" w:cs="Arial"/>
          <w:color w:val="000000" w:themeColor="text1"/>
        </w:rPr>
      </w:pPr>
      <w:r w:rsidRPr="00634ED1">
        <w:rPr>
          <w:rFonts w:ascii="Arial" w:hAnsi="Arial" w:cs="Arial"/>
          <w:b/>
          <w:bCs/>
          <w:color w:val="000000" w:themeColor="text1"/>
        </w:rPr>
        <w:t>Hardware követelmények:</w:t>
      </w:r>
      <w:r w:rsidRPr="00634ED1">
        <w:rPr>
          <w:rFonts w:ascii="Arial" w:hAnsi="Arial" w:cs="Arial"/>
          <w:color w:val="000000" w:themeColor="text1"/>
        </w:rPr>
        <w:br/>
        <w:t xml:space="preserve">(Web)kamera, Processzor: Intel </w:t>
      </w:r>
      <w:proofErr w:type="spellStart"/>
      <w:r w:rsidRPr="00634ED1">
        <w:rPr>
          <w:rFonts w:ascii="Arial" w:hAnsi="Arial" w:cs="Arial"/>
          <w:color w:val="000000" w:themeColor="text1"/>
        </w:rPr>
        <w:t>Core</w:t>
      </w:r>
      <w:proofErr w:type="spellEnd"/>
      <w:r w:rsidRPr="00634ED1">
        <w:rPr>
          <w:rFonts w:ascii="Arial" w:hAnsi="Arial" w:cs="Arial"/>
          <w:color w:val="000000" w:themeColor="text1"/>
        </w:rPr>
        <w:t xml:space="preserve"> i3, i5 vagy i7 sorozat (AMD vagy egyenértékű), RAM: Minimum 2GB</w:t>
      </w:r>
    </w:p>
    <w:p w:rsidR="00634ED1" w:rsidRPr="00634ED1" w:rsidRDefault="00634ED1" w:rsidP="00634ED1">
      <w:pPr>
        <w:rPr>
          <w:rFonts w:ascii="Arial" w:hAnsi="Arial" w:cs="Arial"/>
          <w:color w:val="000000" w:themeColor="text1"/>
        </w:rPr>
      </w:pPr>
    </w:p>
    <w:p w:rsidR="00634ED1" w:rsidRPr="00634ED1" w:rsidRDefault="00634ED1" w:rsidP="00634ED1">
      <w:pPr>
        <w:rPr>
          <w:rFonts w:ascii="Arial" w:hAnsi="Arial" w:cs="Arial"/>
          <w:color w:val="000000" w:themeColor="text1"/>
        </w:rPr>
      </w:pPr>
      <w:r w:rsidRPr="00634ED1">
        <w:rPr>
          <w:rFonts w:ascii="Arial" w:hAnsi="Arial" w:cs="Arial"/>
          <w:color w:val="000000" w:themeColor="text1"/>
        </w:rPr>
        <w:t>Magatartási kódex:</w:t>
      </w:r>
    </w:p>
    <w:p w:rsidR="00634ED1" w:rsidRPr="00941475" w:rsidRDefault="00634ED1" w:rsidP="00634ED1">
      <w:pPr>
        <w:rPr>
          <w:rFonts w:ascii="Arial" w:hAnsi="Arial" w:cs="Arial"/>
          <w:color w:val="000000" w:themeColor="text1"/>
        </w:rPr>
      </w:pPr>
      <w:r w:rsidRPr="00634ED1">
        <w:rPr>
          <w:rFonts w:ascii="Arial" w:hAnsi="Arial" w:cs="Arial"/>
          <w:color w:val="000000" w:themeColor="text1"/>
        </w:rPr>
        <w:t>https://www.sberbank.hu/hu/lablec/magatartasi-kodex.html</w:t>
      </w:r>
    </w:p>
    <w:p w:rsidR="0048445C" w:rsidRDefault="0048445C" w:rsidP="00FF4DD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8445C" w:rsidRPr="00373249" w:rsidRDefault="0048445C" w:rsidP="00FF4DD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30A89" w:rsidRPr="00373249" w:rsidRDefault="009E7C12" w:rsidP="00FF4DD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73249">
        <w:rPr>
          <w:rFonts w:ascii="Arial" w:hAnsi="Arial" w:cs="Arial"/>
          <w:b/>
          <w:sz w:val="20"/>
          <w:szCs w:val="20"/>
        </w:rPr>
        <w:t xml:space="preserve">Közzététel napja: </w:t>
      </w:r>
      <w:r w:rsidR="004A203C" w:rsidRPr="00373249">
        <w:rPr>
          <w:rFonts w:ascii="Arial" w:hAnsi="Arial" w:cs="Arial"/>
          <w:b/>
          <w:sz w:val="20"/>
          <w:szCs w:val="20"/>
        </w:rPr>
        <w:t>201</w:t>
      </w:r>
      <w:r w:rsidR="00AE1A77">
        <w:rPr>
          <w:rFonts w:ascii="Arial" w:hAnsi="Arial" w:cs="Arial"/>
          <w:b/>
          <w:sz w:val="20"/>
          <w:szCs w:val="20"/>
        </w:rPr>
        <w:t>9</w:t>
      </w:r>
      <w:r w:rsidR="004A203C" w:rsidRPr="00373249">
        <w:rPr>
          <w:rFonts w:ascii="Arial" w:hAnsi="Arial" w:cs="Arial"/>
          <w:b/>
          <w:sz w:val="20"/>
          <w:szCs w:val="20"/>
        </w:rPr>
        <w:t xml:space="preserve">. </w:t>
      </w:r>
      <w:r w:rsidR="00AE1A77">
        <w:rPr>
          <w:rFonts w:ascii="Arial" w:hAnsi="Arial" w:cs="Arial"/>
          <w:b/>
          <w:sz w:val="20"/>
          <w:szCs w:val="20"/>
        </w:rPr>
        <w:t>február</w:t>
      </w:r>
      <w:r w:rsidR="00711E67" w:rsidRPr="00373249">
        <w:rPr>
          <w:rFonts w:ascii="Arial" w:hAnsi="Arial" w:cs="Arial"/>
          <w:b/>
          <w:sz w:val="20"/>
          <w:szCs w:val="20"/>
        </w:rPr>
        <w:t xml:space="preserve"> </w:t>
      </w:r>
      <w:bookmarkStart w:id="3" w:name="_GoBack"/>
      <w:bookmarkEnd w:id="3"/>
      <w:r w:rsidR="005937F5">
        <w:rPr>
          <w:rFonts w:ascii="Arial" w:hAnsi="Arial" w:cs="Arial"/>
          <w:b/>
          <w:sz w:val="20"/>
          <w:szCs w:val="20"/>
        </w:rPr>
        <w:t>11.</w:t>
      </w:r>
      <w:r w:rsidRPr="00373249">
        <w:rPr>
          <w:rFonts w:ascii="Arial" w:hAnsi="Arial" w:cs="Arial"/>
          <w:b/>
          <w:sz w:val="20"/>
          <w:szCs w:val="20"/>
        </w:rPr>
        <w:tab/>
      </w:r>
      <w:r w:rsidRPr="00373249">
        <w:rPr>
          <w:rFonts w:ascii="Arial" w:hAnsi="Arial" w:cs="Arial"/>
          <w:b/>
          <w:sz w:val="20"/>
          <w:szCs w:val="20"/>
        </w:rPr>
        <w:tab/>
      </w:r>
      <w:r w:rsidRPr="00373249">
        <w:rPr>
          <w:rFonts w:ascii="Arial" w:hAnsi="Arial" w:cs="Arial"/>
          <w:b/>
          <w:sz w:val="20"/>
          <w:szCs w:val="20"/>
        </w:rPr>
        <w:tab/>
      </w:r>
      <w:proofErr w:type="spellStart"/>
      <w:r w:rsidR="00870918" w:rsidRPr="00373249">
        <w:rPr>
          <w:rFonts w:ascii="Arial" w:hAnsi="Arial" w:cs="Arial"/>
          <w:b/>
          <w:sz w:val="20"/>
          <w:szCs w:val="20"/>
        </w:rPr>
        <w:t>S</w:t>
      </w:r>
      <w:r w:rsidR="00230A89" w:rsidRPr="00373249">
        <w:rPr>
          <w:rFonts w:ascii="Arial" w:hAnsi="Arial" w:cs="Arial"/>
          <w:b/>
          <w:sz w:val="20"/>
          <w:szCs w:val="20"/>
        </w:rPr>
        <w:t>berbank</w:t>
      </w:r>
      <w:proofErr w:type="spellEnd"/>
      <w:r w:rsidR="00230A89" w:rsidRPr="00373249">
        <w:rPr>
          <w:rFonts w:ascii="Arial" w:hAnsi="Arial" w:cs="Arial"/>
          <w:b/>
          <w:sz w:val="20"/>
          <w:szCs w:val="20"/>
        </w:rPr>
        <w:t xml:space="preserve"> Magyarország </w:t>
      </w:r>
      <w:proofErr w:type="spellStart"/>
      <w:r w:rsidR="00230A89" w:rsidRPr="00373249">
        <w:rPr>
          <w:rFonts w:ascii="Arial" w:hAnsi="Arial" w:cs="Arial"/>
          <w:b/>
          <w:sz w:val="20"/>
          <w:szCs w:val="20"/>
        </w:rPr>
        <w:t>Zrt</w:t>
      </w:r>
      <w:proofErr w:type="spellEnd"/>
      <w:r w:rsidR="00230A89" w:rsidRPr="00373249">
        <w:rPr>
          <w:rFonts w:ascii="Arial" w:hAnsi="Arial" w:cs="Arial"/>
          <w:b/>
          <w:sz w:val="20"/>
          <w:szCs w:val="20"/>
        </w:rPr>
        <w:t xml:space="preserve">. </w:t>
      </w:r>
    </w:p>
    <w:p w:rsidR="00870918" w:rsidRPr="00373249" w:rsidRDefault="00870918" w:rsidP="00FF4DD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870918" w:rsidRPr="00373249" w:rsidSect="00AE6167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ED1" w:rsidRDefault="00634ED1" w:rsidP="00EC5276">
      <w:pPr>
        <w:spacing w:after="0" w:line="240" w:lineRule="auto"/>
      </w:pPr>
      <w:r>
        <w:separator/>
      </w:r>
    </w:p>
  </w:endnote>
  <w:endnote w:type="continuationSeparator" w:id="0">
    <w:p w:rsidR="00634ED1" w:rsidRDefault="00634ED1" w:rsidP="00EC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80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34ED1" w:rsidRDefault="00AE2724">
        <w:pPr>
          <w:pStyle w:val="llb"/>
          <w:jc w:val="right"/>
        </w:pPr>
        <w:r w:rsidRPr="00A74E38">
          <w:rPr>
            <w:rFonts w:ascii="Arial" w:hAnsi="Arial" w:cs="Arial"/>
            <w:sz w:val="20"/>
            <w:szCs w:val="20"/>
          </w:rPr>
          <w:fldChar w:fldCharType="begin"/>
        </w:r>
        <w:r w:rsidR="00634ED1" w:rsidRPr="00A74E3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74E38">
          <w:rPr>
            <w:rFonts w:ascii="Arial" w:hAnsi="Arial" w:cs="Arial"/>
            <w:sz w:val="20"/>
            <w:szCs w:val="20"/>
          </w:rPr>
          <w:fldChar w:fldCharType="separate"/>
        </w:r>
        <w:r w:rsidR="005937F5">
          <w:rPr>
            <w:rFonts w:ascii="Arial" w:hAnsi="Arial" w:cs="Arial"/>
            <w:noProof/>
            <w:sz w:val="20"/>
            <w:szCs w:val="20"/>
          </w:rPr>
          <w:t>12</w:t>
        </w:r>
        <w:r w:rsidRPr="00A74E3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34ED1" w:rsidRDefault="00634ED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ED1" w:rsidRDefault="00634ED1" w:rsidP="00EC5276">
      <w:pPr>
        <w:spacing w:after="0" w:line="240" w:lineRule="auto"/>
      </w:pPr>
      <w:r>
        <w:separator/>
      </w:r>
    </w:p>
  </w:footnote>
  <w:footnote w:type="continuationSeparator" w:id="0">
    <w:p w:rsidR="00634ED1" w:rsidRDefault="00634ED1" w:rsidP="00EC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D1" w:rsidRDefault="00634ED1">
    <w:pPr>
      <w:pStyle w:val="lfej"/>
    </w:pPr>
    <w:r w:rsidRPr="00465A1F"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150495</wp:posOffset>
          </wp:positionV>
          <wp:extent cx="2335530" cy="438150"/>
          <wp:effectExtent l="19050" t="0" r="7620" b="0"/>
          <wp:wrapThrough wrapText="bothSides">
            <wp:wrapPolygon edited="0">
              <wp:start x="2290" y="0"/>
              <wp:lineTo x="352" y="1873"/>
              <wp:lineTo x="-176" y="4682"/>
              <wp:lineTo x="-176" y="14983"/>
              <wp:lineTo x="705" y="20601"/>
              <wp:lineTo x="881" y="20601"/>
              <wp:lineTo x="3347" y="20601"/>
              <wp:lineTo x="21670" y="19665"/>
              <wp:lineTo x="21670" y="15919"/>
              <wp:lineTo x="6695" y="14983"/>
              <wp:lineTo x="21670" y="14983"/>
              <wp:lineTo x="21670" y="936"/>
              <wp:lineTo x="3524" y="0"/>
              <wp:lineTo x="229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C38"/>
    <w:multiLevelType w:val="hybridMultilevel"/>
    <w:tmpl w:val="CBBC7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C79B1"/>
    <w:multiLevelType w:val="hybridMultilevel"/>
    <w:tmpl w:val="23EA2B08"/>
    <w:lvl w:ilvl="0" w:tplc="62443E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C2253"/>
    <w:multiLevelType w:val="hybridMultilevel"/>
    <w:tmpl w:val="FC9A58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D3CDF"/>
    <w:multiLevelType w:val="hybridMultilevel"/>
    <w:tmpl w:val="E8862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41A25"/>
    <w:multiLevelType w:val="hybridMultilevel"/>
    <w:tmpl w:val="73F6059A"/>
    <w:lvl w:ilvl="0" w:tplc="040E0011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3149A"/>
    <w:multiLevelType w:val="hybridMultilevel"/>
    <w:tmpl w:val="235CF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50DC9"/>
    <w:multiLevelType w:val="hybridMultilevel"/>
    <w:tmpl w:val="FC2E0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62995"/>
    <w:multiLevelType w:val="hybridMultilevel"/>
    <w:tmpl w:val="FEE66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C5034"/>
    <w:multiLevelType w:val="hybridMultilevel"/>
    <w:tmpl w:val="36C47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A698B"/>
    <w:multiLevelType w:val="hybridMultilevel"/>
    <w:tmpl w:val="DA7C7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A0BEE"/>
    <w:multiLevelType w:val="hybridMultilevel"/>
    <w:tmpl w:val="9AA8A5E0"/>
    <w:lvl w:ilvl="0" w:tplc="67860A66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11">
    <w:nsid w:val="57E95638"/>
    <w:multiLevelType w:val="hybridMultilevel"/>
    <w:tmpl w:val="E44CD93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ANDRUSEK ALEXANDRA">
    <w15:presenceInfo w15:providerId="AD" w15:userId="S-1-5-21-233314928-1361996667-619646970-218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E58"/>
    <w:rsid w:val="00016C4B"/>
    <w:rsid w:val="00026ED3"/>
    <w:rsid w:val="00033E10"/>
    <w:rsid w:val="00033EA8"/>
    <w:rsid w:val="00041349"/>
    <w:rsid w:val="0004295F"/>
    <w:rsid w:val="00043B40"/>
    <w:rsid w:val="00046C11"/>
    <w:rsid w:val="00056A2B"/>
    <w:rsid w:val="00067F40"/>
    <w:rsid w:val="00091E1A"/>
    <w:rsid w:val="00096575"/>
    <w:rsid w:val="000B2C17"/>
    <w:rsid w:val="000F3885"/>
    <w:rsid w:val="000F5CA9"/>
    <w:rsid w:val="00115CF4"/>
    <w:rsid w:val="00163E1D"/>
    <w:rsid w:val="001A212D"/>
    <w:rsid w:val="001C41D3"/>
    <w:rsid w:val="001C581C"/>
    <w:rsid w:val="001C7C93"/>
    <w:rsid w:val="001E30C5"/>
    <w:rsid w:val="001E7271"/>
    <w:rsid w:val="002001BE"/>
    <w:rsid w:val="00225AA5"/>
    <w:rsid w:val="00230A89"/>
    <w:rsid w:val="0024455A"/>
    <w:rsid w:val="002575DE"/>
    <w:rsid w:val="002607A6"/>
    <w:rsid w:val="00284B48"/>
    <w:rsid w:val="002B0324"/>
    <w:rsid w:val="002D63F6"/>
    <w:rsid w:val="002F0D6B"/>
    <w:rsid w:val="002F1ED3"/>
    <w:rsid w:val="002F7E9B"/>
    <w:rsid w:val="003227DC"/>
    <w:rsid w:val="003334FA"/>
    <w:rsid w:val="003424B8"/>
    <w:rsid w:val="00373249"/>
    <w:rsid w:val="00383856"/>
    <w:rsid w:val="00385A9A"/>
    <w:rsid w:val="00386879"/>
    <w:rsid w:val="00395EAD"/>
    <w:rsid w:val="00397BC8"/>
    <w:rsid w:val="003A3C07"/>
    <w:rsid w:val="003A6393"/>
    <w:rsid w:val="003B5A13"/>
    <w:rsid w:val="003C6620"/>
    <w:rsid w:val="003E03A1"/>
    <w:rsid w:val="003F7636"/>
    <w:rsid w:val="00407D27"/>
    <w:rsid w:val="00424CA8"/>
    <w:rsid w:val="00433DAC"/>
    <w:rsid w:val="00450E7D"/>
    <w:rsid w:val="004512ED"/>
    <w:rsid w:val="00465A1F"/>
    <w:rsid w:val="00466392"/>
    <w:rsid w:val="0047586E"/>
    <w:rsid w:val="0048445C"/>
    <w:rsid w:val="00484505"/>
    <w:rsid w:val="004979DE"/>
    <w:rsid w:val="004A203C"/>
    <w:rsid w:val="004A2140"/>
    <w:rsid w:val="004B0859"/>
    <w:rsid w:val="004C2E4C"/>
    <w:rsid w:val="004C4603"/>
    <w:rsid w:val="00524C36"/>
    <w:rsid w:val="00535CA7"/>
    <w:rsid w:val="00561E8F"/>
    <w:rsid w:val="005876AC"/>
    <w:rsid w:val="00587787"/>
    <w:rsid w:val="0059124A"/>
    <w:rsid w:val="005937F5"/>
    <w:rsid w:val="00596339"/>
    <w:rsid w:val="005B3B8C"/>
    <w:rsid w:val="005B7AC1"/>
    <w:rsid w:val="005C32AB"/>
    <w:rsid w:val="006247F4"/>
    <w:rsid w:val="00634926"/>
    <w:rsid w:val="00634ED1"/>
    <w:rsid w:val="006417AC"/>
    <w:rsid w:val="00664CBE"/>
    <w:rsid w:val="00666A42"/>
    <w:rsid w:val="006A2339"/>
    <w:rsid w:val="006B413B"/>
    <w:rsid w:val="006B4329"/>
    <w:rsid w:val="006F1CF9"/>
    <w:rsid w:val="00707D81"/>
    <w:rsid w:val="00711E67"/>
    <w:rsid w:val="00742731"/>
    <w:rsid w:val="00742B33"/>
    <w:rsid w:val="00753C01"/>
    <w:rsid w:val="0077304D"/>
    <w:rsid w:val="007805FD"/>
    <w:rsid w:val="00797305"/>
    <w:rsid w:val="007C5CB5"/>
    <w:rsid w:val="007D1677"/>
    <w:rsid w:val="007D177D"/>
    <w:rsid w:val="00802B95"/>
    <w:rsid w:val="008135FC"/>
    <w:rsid w:val="0082045B"/>
    <w:rsid w:val="00823375"/>
    <w:rsid w:val="00834A0F"/>
    <w:rsid w:val="008414E3"/>
    <w:rsid w:val="0084554D"/>
    <w:rsid w:val="00870918"/>
    <w:rsid w:val="00870CD9"/>
    <w:rsid w:val="00876233"/>
    <w:rsid w:val="0089244F"/>
    <w:rsid w:val="00896725"/>
    <w:rsid w:val="008D0602"/>
    <w:rsid w:val="008D35C5"/>
    <w:rsid w:val="008E2EC9"/>
    <w:rsid w:val="008E3842"/>
    <w:rsid w:val="008F208E"/>
    <w:rsid w:val="00900488"/>
    <w:rsid w:val="00900C19"/>
    <w:rsid w:val="0090293A"/>
    <w:rsid w:val="00976433"/>
    <w:rsid w:val="009B72BF"/>
    <w:rsid w:val="009C633E"/>
    <w:rsid w:val="009E348F"/>
    <w:rsid w:val="009E7C12"/>
    <w:rsid w:val="009F1EAD"/>
    <w:rsid w:val="00A12726"/>
    <w:rsid w:val="00A329F9"/>
    <w:rsid w:val="00A74E38"/>
    <w:rsid w:val="00A8420B"/>
    <w:rsid w:val="00A87D4A"/>
    <w:rsid w:val="00A92451"/>
    <w:rsid w:val="00AA7C53"/>
    <w:rsid w:val="00AB316E"/>
    <w:rsid w:val="00AC27FF"/>
    <w:rsid w:val="00AE1A77"/>
    <w:rsid w:val="00AE2724"/>
    <w:rsid w:val="00AE6167"/>
    <w:rsid w:val="00AE72A8"/>
    <w:rsid w:val="00B103CB"/>
    <w:rsid w:val="00B23891"/>
    <w:rsid w:val="00B51C11"/>
    <w:rsid w:val="00B70F9E"/>
    <w:rsid w:val="00B83D37"/>
    <w:rsid w:val="00B96A1E"/>
    <w:rsid w:val="00BA2EE5"/>
    <w:rsid w:val="00BA385B"/>
    <w:rsid w:val="00BB5A4F"/>
    <w:rsid w:val="00BB7231"/>
    <w:rsid w:val="00BD2881"/>
    <w:rsid w:val="00BE0C0C"/>
    <w:rsid w:val="00BE1D38"/>
    <w:rsid w:val="00BE51A1"/>
    <w:rsid w:val="00BF0097"/>
    <w:rsid w:val="00C17B0F"/>
    <w:rsid w:val="00C24309"/>
    <w:rsid w:val="00C74AD6"/>
    <w:rsid w:val="00CA6B11"/>
    <w:rsid w:val="00CA75B0"/>
    <w:rsid w:val="00D004EF"/>
    <w:rsid w:val="00D0222F"/>
    <w:rsid w:val="00D05603"/>
    <w:rsid w:val="00D23224"/>
    <w:rsid w:val="00D2475A"/>
    <w:rsid w:val="00D30147"/>
    <w:rsid w:val="00D64FD6"/>
    <w:rsid w:val="00D70C30"/>
    <w:rsid w:val="00D74900"/>
    <w:rsid w:val="00D74C96"/>
    <w:rsid w:val="00D8738F"/>
    <w:rsid w:val="00D979F0"/>
    <w:rsid w:val="00DA2FCB"/>
    <w:rsid w:val="00DC240A"/>
    <w:rsid w:val="00DC48E5"/>
    <w:rsid w:val="00DC7DEC"/>
    <w:rsid w:val="00DE2DEE"/>
    <w:rsid w:val="00E02B2D"/>
    <w:rsid w:val="00E05028"/>
    <w:rsid w:val="00E61ED0"/>
    <w:rsid w:val="00E63280"/>
    <w:rsid w:val="00EC0E29"/>
    <w:rsid w:val="00EC2845"/>
    <w:rsid w:val="00EC2E48"/>
    <w:rsid w:val="00EC5276"/>
    <w:rsid w:val="00ED7B4C"/>
    <w:rsid w:val="00EE3544"/>
    <w:rsid w:val="00F032E1"/>
    <w:rsid w:val="00F12F54"/>
    <w:rsid w:val="00F14408"/>
    <w:rsid w:val="00F22964"/>
    <w:rsid w:val="00F22C61"/>
    <w:rsid w:val="00F57659"/>
    <w:rsid w:val="00F6385C"/>
    <w:rsid w:val="00F75054"/>
    <w:rsid w:val="00F7794C"/>
    <w:rsid w:val="00F82A94"/>
    <w:rsid w:val="00F86BF4"/>
    <w:rsid w:val="00F86E58"/>
    <w:rsid w:val="00F948AC"/>
    <w:rsid w:val="00FA27C3"/>
    <w:rsid w:val="00FC4B52"/>
    <w:rsid w:val="00FD18E6"/>
    <w:rsid w:val="00FE2A32"/>
    <w:rsid w:val="00F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7B4C"/>
  </w:style>
  <w:style w:type="paragraph" w:styleId="Cmsor3">
    <w:name w:val="heading 3"/>
    <w:basedOn w:val="Norml"/>
    <w:next w:val="Norml"/>
    <w:link w:val="Cmsor3Char"/>
    <w:uiPriority w:val="99"/>
    <w:qFormat/>
    <w:rsid w:val="00AC27F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E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764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B316E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85A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A9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A9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A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A9A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EC5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5276"/>
  </w:style>
  <w:style w:type="paragraph" w:styleId="llb">
    <w:name w:val="footer"/>
    <w:basedOn w:val="Norml"/>
    <w:link w:val="llbChar"/>
    <w:uiPriority w:val="99"/>
    <w:unhideWhenUsed/>
    <w:rsid w:val="00EC5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5276"/>
  </w:style>
  <w:style w:type="character" w:customStyle="1" w:styleId="Szvegtrzs2">
    <w:name w:val="Szövegtörzs (2)_"/>
    <w:basedOn w:val="Bekezdsalapbettpusa"/>
    <w:link w:val="Szvegtrzs21"/>
    <w:rsid w:val="007805F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7805FD"/>
    <w:pPr>
      <w:widowControl w:val="0"/>
      <w:shd w:val="clear" w:color="auto" w:fill="FFFFFF"/>
      <w:spacing w:after="0" w:line="240" w:lineRule="exact"/>
      <w:ind w:hanging="460"/>
    </w:pPr>
    <w:rPr>
      <w:rFonts w:ascii="Calibri" w:hAnsi="Calibri" w:cs="Calibri"/>
      <w:sz w:val="20"/>
      <w:szCs w:val="20"/>
    </w:rPr>
  </w:style>
  <w:style w:type="table" w:styleId="Rcsostblzat">
    <w:name w:val="Table Grid"/>
    <w:basedOn w:val="Normltblzat"/>
    <w:uiPriority w:val="59"/>
    <w:rsid w:val="00780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uiPriority w:val="99"/>
    <w:rsid w:val="00AC27FF"/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paragraph" w:styleId="Szvegtrzs20">
    <w:name w:val="Body Text 2"/>
    <w:basedOn w:val="Norml"/>
    <w:link w:val="Szvegtrzs2Char"/>
    <w:uiPriority w:val="99"/>
    <w:rsid w:val="00F2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character" w:customStyle="1" w:styleId="Szvegtrzs2Char">
    <w:name w:val="Szövegtörzs 2 Char"/>
    <w:basedOn w:val="Bekezdsalapbettpusa"/>
    <w:link w:val="Szvegtrzs20"/>
    <w:uiPriority w:val="99"/>
    <w:rsid w:val="00F22964"/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D004EF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D004E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3578</Words>
  <Characters>24694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Volks</Company>
  <LinksUpToDate>false</LinksUpToDate>
  <CharactersWithSpaces>28216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kovacsdo</dc:creator>
  <cp:lastModifiedBy>patakiz</cp:lastModifiedBy>
  <cp:revision>4</cp:revision>
  <cp:lastPrinted>2015-11-13T12:33:00Z</cp:lastPrinted>
  <dcterms:created xsi:type="dcterms:W3CDTF">2019-02-07T09:35:00Z</dcterms:created>
  <dcterms:modified xsi:type="dcterms:W3CDTF">2019-02-11T15:33:00Z</dcterms:modified>
</cp:coreProperties>
</file>